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312" w:afterLines="100"/>
        <w:jc w:val="center"/>
        <w:rPr>
          <w:rFonts w:eastAsia="华文仿宋"/>
          <w:b/>
          <w:color w:val="000000" w:themeColor="text1"/>
          <w14:textFill>
            <w14:solidFill>
              <w14:schemeClr w14:val="tx1"/>
            </w14:solidFill>
          </w14:textFill>
        </w:rPr>
      </w:pPr>
      <w:bookmarkStart w:id="2" w:name="_GoBack"/>
      <w:bookmarkEnd w:id="2"/>
      <w:r>
        <w:rPr>
          <w:rFonts w:eastAsia="华文仿宋"/>
          <w:b/>
          <w:color w:val="000000" w:themeColor="text1"/>
          <w14:textFill>
            <w14:solidFill>
              <w14:schemeClr w14:val="tx1"/>
            </w14:solidFill>
          </w14:textFill>
        </w:rPr>
        <w:t>CFFEX Hedging and Arbitrage Quotas Application and Information Form</w:t>
      </w:r>
    </w:p>
    <w:tbl>
      <w:tblPr>
        <w:tblStyle w:val="6"/>
        <w:tblW w:w="96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399"/>
        <w:gridCol w:w="1385"/>
        <w:gridCol w:w="1448"/>
        <w:gridCol w:w="2327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96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I. Applicant Information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Applicant </w:t>
            </w:r>
          </w:p>
        </w:tc>
        <w:tc>
          <w:tcPr>
            <w:tcW w:w="7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Hedging Client No.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Arbitrage Client No.</w:t>
            </w:r>
          </w:p>
        </w:tc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Carrying Member Name (abbreviation)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rPr>
                <w:i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Carrying Member No.</w:t>
            </w:r>
          </w:p>
        </w:tc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Member Contact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rPr>
                <w:i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Member Contact Tel.</w:t>
            </w:r>
          </w:p>
        </w:tc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Custodian Bank Contact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i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(required for QFII</w:t>
            </w:r>
            <w:r>
              <w:rPr>
                <w:rFonts w:hint="eastAsia"/>
                <w:i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i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and RQFII</w:t>
            </w:r>
            <w:r>
              <w:rPr>
                <w:rFonts w:hint="eastAsia"/>
                <w:i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i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Custodian Bank Contact Tel.</w:t>
            </w:r>
          </w:p>
        </w:tc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(required for QFII</w:t>
            </w:r>
            <w:r>
              <w:rPr>
                <w:rFonts w:hint="eastAsia"/>
                <w:i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i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and RQFII</w:t>
            </w:r>
            <w:r>
              <w:rPr>
                <w:rFonts w:hint="eastAsia"/>
                <w:i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i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Applicant Contact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Applicant Contact Tel.</w:t>
            </w:r>
          </w:p>
        </w:tc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Investment Manager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i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(</w:t>
            </w:r>
            <w:bookmarkStart w:id="0" w:name="OLE_LINK7"/>
            <w:bookmarkStart w:id="1" w:name="OLE_LINK8"/>
            <w:r>
              <w:rPr>
                <w:i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required for</w:t>
            </w:r>
            <w:bookmarkEnd w:id="0"/>
            <w:bookmarkEnd w:id="1"/>
            <w:r>
              <w:rPr>
                <w:i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special institutional clients)</w:t>
            </w:r>
          </w:p>
        </w:tc>
        <w:tc>
          <w:tcPr>
            <w:tcW w:w="2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Investment Manager Tel.</w:t>
            </w:r>
          </w:p>
        </w:tc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i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(required for special institutional clients)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rFonts w:hint="default"/>
                <w:b/>
                <w:color w:val="000000" w:themeColor="text1"/>
                <w:kern w:val="2"/>
                <w:sz w:val="22"/>
                <w:szCs w:val="22"/>
                <w:lang w:val="e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II. Spot Market Account Number </w:t>
            </w:r>
            <w:r>
              <w:rPr>
                <w:rFonts w:hint="eastAsia"/>
                <w:b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/>
                <w:b/>
                <w:color w:val="000000" w:themeColor="text1"/>
                <w:kern w:val="2"/>
                <w:sz w:val="22"/>
                <w:szCs w:val="22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orresponding to</w:t>
            </w:r>
            <w:r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Equity Index Futures/Options</w:t>
            </w:r>
            <w:r>
              <w:rPr>
                <w:rFonts w:hint="default"/>
                <w:b/>
                <w:color w:val="000000" w:themeColor="text1"/>
                <w:kern w:val="2"/>
                <w:sz w:val="22"/>
                <w:szCs w:val="22"/>
                <w:lang w:val="en"/>
                <w14:textFill>
                  <w14:solidFill>
                    <w14:schemeClr w14:val="tx1"/>
                  </w14:solidFill>
                </w14:textFill>
              </w:rPr>
              <w:t xml:space="preserve"> Trading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Hedging</w:t>
            </w:r>
          </w:p>
        </w:tc>
        <w:tc>
          <w:tcPr>
            <w:tcW w:w="3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Arbitrage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Shanghai Stock Exchange</w:t>
            </w:r>
          </w:p>
        </w:tc>
        <w:tc>
          <w:tcPr>
            <w:tcW w:w="3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Shenzhen Stock Exchange</w:t>
            </w:r>
          </w:p>
        </w:tc>
        <w:tc>
          <w:tcPr>
            <w:tcW w:w="3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Fund Account Number</w:t>
            </w:r>
          </w:p>
        </w:tc>
        <w:tc>
          <w:tcPr>
            <w:tcW w:w="3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Others</w:t>
            </w:r>
          </w:p>
        </w:tc>
        <w:tc>
          <w:tcPr>
            <w:tcW w:w="3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6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rFonts w:hint="default"/>
                <w:b/>
                <w:color w:val="000000" w:themeColor="text1"/>
                <w:kern w:val="2"/>
                <w:sz w:val="22"/>
                <w:szCs w:val="22"/>
                <w:lang w:val="e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III. Spot Market Account Number </w:t>
            </w:r>
            <w:r>
              <w:rPr>
                <w:rFonts w:hint="eastAsia"/>
                <w:b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/>
                <w:b/>
                <w:color w:val="000000" w:themeColor="text1"/>
                <w:kern w:val="2"/>
                <w:sz w:val="22"/>
                <w:szCs w:val="22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orresponding to</w:t>
            </w:r>
            <w:r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CGB Futures</w:t>
            </w:r>
            <w:r>
              <w:rPr>
                <w:rFonts w:hint="default"/>
                <w:b/>
                <w:color w:val="000000" w:themeColor="text1"/>
                <w:kern w:val="2"/>
                <w:sz w:val="22"/>
                <w:szCs w:val="22"/>
                <w:lang w:val="en"/>
                <w14:textFill>
                  <w14:solidFill>
                    <w14:schemeClr w14:val="tx1"/>
                  </w14:solidFill>
                </w14:textFill>
              </w:rPr>
              <w:t xml:space="preserve"> Trading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Hedging</w:t>
            </w:r>
          </w:p>
        </w:tc>
        <w:tc>
          <w:tcPr>
            <w:tcW w:w="3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Arbitrage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Shanghai Stock Exchange</w:t>
            </w:r>
          </w:p>
        </w:tc>
        <w:tc>
          <w:tcPr>
            <w:tcW w:w="3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Shenzhen Stock Exchange</w:t>
            </w:r>
          </w:p>
        </w:tc>
        <w:tc>
          <w:tcPr>
            <w:tcW w:w="3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China Central Depository &amp; Clearing</w:t>
            </w:r>
          </w:p>
        </w:tc>
        <w:tc>
          <w:tcPr>
            <w:tcW w:w="3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Shanghai Clearing House</w:t>
            </w:r>
          </w:p>
        </w:tc>
        <w:tc>
          <w:tcPr>
            <w:tcW w:w="3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Others</w:t>
            </w:r>
          </w:p>
        </w:tc>
        <w:tc>
          <w:tcPr>
            <w:tcW w:w="3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6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IV. Applicant’s Declaration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15" w:hRule="atLeast"/>
          <w:jc w:val="center"/>
        </w:trPr>
        <w:tc>
          <w:tcPr>
            <w:tcW w:w="96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both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 I hereby confirm that</w:t>
            </w:r>
            <w:r>
              <w:rPr>
                <w:rFonts w:hint="eastAsia"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ll submissions are tru</w:t>
            </w:r>
            <w:r>
              <w:rPr>
                <w:rFonts w:hint="eastAsia"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thful</w:t>
            </w: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and complete;</w:t>
            </w:r>
          </w:p>
          <w:p>
            <w:pPr>
              <w:adjustRightInd w:val="0"/>
              <w:snapToGrid w:val="0"/>
              <w:spacing w:before="93" w:beforeLines="30" w:after="93" w:afterLines="30" w:line="276" w:lineRule="auto"/>
              <w:jc w:val="both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2. I hereby confirm that </w:t>
            </w:r>
            <w:r>
              <w:rPr>
                <w:rFonts w:hint="eastAsia"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my</w:t>
            </w: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hedging and arbitrage transactions will follow internal audit and control processes;</w:t>
            </w:r>
          </w:p>
          <w:p>
            <w:pPr>
              <w:adjustRightInd w:val="0"/>
              <w:snapToGrid w:val="0"/>
              <w:spacing w:before="93" w:beforeLines="30" w:after="93" w:afterLines="30" w:line="276" w:lineRule="auto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3. I hereby confirm that my hedging and arbitrage transactions will comply with laws and regulations applicable to futures trading and will </w:t>
            </w:r>
            <w:r>
              <w:rPr>
                <w:rFonts w:hint="default"/>
                <w:color w:val="000000" w:themeColor="text1"/>
                <w:kern w:val="2"/>
                <w:sz w:val="22"/>
                <w:szCs w:val="22"/>
                <w:lang w:val="en"/>
                <w14:textFill>
                  <w14:solidFill>
                    <w14:schemeClr w14:val="tx1"/>
                  </w14:solidFill>
                </w14:textFill>
              </w:rPr>
              <w:t xml:space="preserve">not disrupt </w:t>
            </w: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the futures and underlying spot markets</w:t>
            </w:r>
            <w:r>
              <w:rPr>
                <w:rFonts w:hint="default"/>
                <w:color w:val="000000" w:themeColor="text1"/>
                <w:kern w:val="2"/>
                <w:sz w:val="22"/>
                <w:szCs w:val="22"/>
                <w:lang w:val="en"/>
                <w14:textFill>
                  <w14:solidFill>
                    <w14:schemeClr w14:val="tx1"/>
                  </w14:solidFill>
                </w14:textFill>
              </w:rPr>
              <w:t xml:space="preserve"> by exploiting </w:t>
            </w: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improper measures I understand that the Exchange, as a self-regulatory organization, has every right to take appropriate measures in accordance with its </w:t>
            </w:r>
            <w:r>
              <w:rPr>
                <w:i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Trading Rules</w:t>
            </w: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and relevant detailed implementation rules against any </w:t>
            </w:r>
            <w:r>
              <w:rPr>
                <w:rFonts w:hint="eastAsia"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abnormal</w:t>
            </w: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activities to maintain market order;</w:t>
            </w:r>
          </w:p>
          <w:p>
            <w:pPr>
              <w:adjustRightInd w:val="0"/>
              <w:snapToGrid w:val="0"/>
              <w:spacing w:before="93" w:beforeLines="30" w:after="93" w:afterLines="30" w:line="276" w:lineRule="auto"/>
              <w:jc w:val="both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4. I hereby represent that I have no unreported Actual Control Accounts that should </w:t>
            </w:r>
            <w:r>
              <w:rPr>
                <w:rFonts w:hint="eastAsia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have </w:t>
            </w: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be</w:t>
            </w:r>
            <w:r>
              <w:rPr>
                <w:rFonts w:hint="eastAsia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en</w:t>
            </w: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reported;</w:t>
            </w:r>
          </w:p>
          <w:p>
            <w:pPr>
              <w:adjustRightInd w:val="0"/>
              <w:snapToGrid w:val="0"/>
              <w:spacing w:before="93" w:beforeLines="30" w:after="93" w:afterLines="30" w:line="276" w:lineRule="auto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5. I hereby agree to provide written statements or supplementary materials on specific matters </w:t>
            </w:r>
            <w:r>
              <w:rPr>
                <w:rFonts w:hint="eastAsia"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within the </w:t>
            </w: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prescribed time limit that the Exchange may, in accordance with applicable regulations, require during my hedging and arbitrage transactions, and will not evade or refuse to do so.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082" w:hRule="atLeast"/>
          <w:jc w:val="center"/>
        </w:trPr>
        <w:tc>
          <w:tcPr>
            <w:tcW w:w="96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Signature or seal of the applicant: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6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jc w:val="center"/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V. Statement of Member on the Truthfulness of Applicant’s Submissions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93" w:beforeLines="30" w:after="93" w:afterLines="30" w:line="276" w:lineRule="auto"/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We guarantee that all materials the applicant provid</w:t>
            </w:r>
            <w:r>
              <w:rPr>
                <w:rFonts w:hint="eastAsia"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to the Exchange are tru</w:t>
            </w:r>
            <w:r>
              <w:rPr>
                <w:rFonts w:hint="eastAsia"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thful</w:t>
            </w:r>
            <w:r>
              <w:rPr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. We agree to the submission of this application to the Exchange and will perform all due responsibilities in accordance with applicable regulations of the Exchange.</w:t>
            </w:r>
          </w:p>
        </w:tc>
      </w:tr>
    </w:tbl>
    <w:p>
      <w:pPr>
        <w:jc w:val="center"/>
        <w:rPr>
          <w:rFonts w:eastAsia="华文仿宋"/>
          <w:b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p>
      <w:pPr>
        <w:rPr>
          <w:rFonts w:eastAsia="华文仿宋"/>
          <w:b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04099122"/>
    </w:sdtPr>
    <w:sdtEndPr>
      <w:rPr>
        <w:sz w:val="20"/>
        <w:szCs w:val="20"/>
      </w:rPr>
    </w:sdtEndPr>
    <w:sdtContent>
      <w:p>
        <w:pPr>
          <w:pStyle w:val="4"/>
          <w:jc w:val="center"/>
          <w:rPr>
            <w:sz w:val="20"/>
            <w:szCs w:val="20"/>
          </w:rPr>
        </w:pPr>
        <w:r>
          <w:rPr>
            <w:sz w:val="20"/>
            <w:szCs w:val="20"/>
          </w:rPr>
          <w:fldChar w:fldCharType="begin"/>
        </w:r>
        <w:r>
          <w:rPr>
            <w:sz w:val="20"/>
            <w:szCs w:val="20"/>
          </w:rPr>
          <w:instrText xml:space="preserve">PAGE   \* MERGEFORMAT</w:instrText>
        </w:r>
        <w:r>
          <w:rPr>
            <w:sz w:val="20"/>
            <w:szCs w:val="20"/>
          </w:rPr>
          <w:fldChar w:fldCharType="separate"/>
        </w:r>
        <w:r>
          <w:rPr>
            <w:sz w:val="20"/>
            <w:szCs w:val="20"/>
            <w:lang w:val="zh-CN"/>
          </w:rPr>
          <w:t>2</w:t>
        </w:r>
        <w:r>
          <w:rPr>
            <w:sz w:val="20"/>
            <w:szCs w:val="20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yYjFkYTQzZDNkNDM4MDY2ZTFkMzUyYWVkMjk3NmUifQ=="/>
  </w:docVars>
  <w:rsids>
    <w:rsidRoot w:val="00474963"/>
    <w:rsid w:val="00067301"/>
    <w:rsid w:val="0007341C"/>
    <w:rsid w:val="0008144D"/>
    <w:rsid w:val="000B52AE"/>
    <w:rsid w:val="00192FFB"/>
    <w:rsid w:val="0025592F"/>
    <w:rsid w:val="00314AB8"/>
    <w:rsid w:val="00371821"/>
    <w:rsid w:val="004653BC"/>
    <w:rsid w:val="00474963"/>
    <w:rsid w:val="004E3D8A"/>
    <w:rsid w:val="00500620"/>
    <w:rsid w:val="00512098"/>
    <w:rsid w:val="005C19F6"/>
    <w:rsid w:val="006F4293"/>
    <w:rsid w:val="009B4B6B"/>
    <w:rsid w:val="009B6E65"/>
    <w:rsid w:val="00AF0541"/>
    <w:rsid w:val="00B464F7"/>
    <w:rsid w:val="00BE68C7"/>
    <w:rsid w:val="00BE7B7F"/>
    <w:rsid w:val="00CC3FFB"/>
    <w:rsid w:val="00E25DA6"/>
    <w:rsid w:val="00EA2E0C"/>
    <w:rsid w:val="00EC70D8"/>
    <w:rsid w:val="00F4729A"/>
    <w:rsid w:val="08C37CB8"/>
    <w:rsid w:val="19D36642"/>
    <w:rsid w:val="1F2B99BF"/>
    <w:rsid w:val="37EEA7AA"/>
    <w:rsid w:val="43CF6D4E"/>
    <w:rsid w:val="712A3ED1"/>
    <w:rsid w:val="7DFF21AE"/>
    <w:rsid w:val="7F5A261F"/>
    <w:rsid w:val="F5FF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paragraph" w:customStyle="1" w:styleId="11">
    <w:name w:val="修订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337</Words>
  <Characters>1998</Characters>
  <Lines>16</Lines>
  <Paragraphs>4</Paragraphs>
  <TotalTime>1</TotalTime>
  <ScaleCrop>false</ScaleCrop>
  <LinksUpToDate>false</LinksUpToDate>
  <CharactersWithSpaces>2290</CharactersWithSpaces>
  <Application>WPS Office_11.8.2.10533_F1E327BC-269C-435d-A152-05C5408002CA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2021-01-12T16:23:00Z</dcterms:created>
  <dc:creator>朱博</dc:creator>
  <cp:lastModifiedBy>zhubo</cp:lastModifiedBy>
  <dcterms:modified xsi:type="dcterms:W3CDTF">2024-06-11T14:05:56Z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2052-11.8.2.10533</vt:lpwstr>
  </property>
  <property fmtid="{D5CDD505-2E9C-101B-9397-08002B2CF9AE}" pid="3" name="ICV">
    <vt:lpwstr>38588485EDC04F7FB775610E10742DC1_12</vt:lpwstr>
  </property>
</Properties>
</file>