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default" w:ascii="Times New Roman" w:hAnsi="Times New Roman" w:eastAsia="方正大标宋简体" w:cs="Times New Roman"/>
          <w:sz w:val="40"/>
          <w:szCs w:val="40"/>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default" w:ascii="Times New Roman" w:hAnsi="Times New Roman" w:eastAsia="方正大标宋简体" w:cs="Times New Roman"/>
          <w:sz w:val="40"/>
          <w:szCs w:val="40"/>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default" w:ascii="Times New Roman" w:hAnsi="Times New Roman" w:eastAsia="方正大标宋简体" w:cs="Times New Roman"/>
          <w:sz w:val="40"/>
          <w:szCs w:val="40"/>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0" w:firstLineChars="0"/>
        <w:jc w:val="center"/>
        <w:textAlignment w:val="auto"/>
        <w:rPr>
          <w:rFonts w:hint="eastAsia" w:ascii="方正大标宋简体" w:hAnsi="方正大标宋简体" w:eastAsia="方正大标宋简体" w:cs="方正大标宋简体"/>
          <w:sz w:val="44"/>
          <w:szCs w:val="44"/>
          <w:highlight w:val="none"/>
        </w:rPr>
      </w:pPr>
      <w:bookmarkStart w:id="0" w:name="_Toc1118570573"/>
      <w:r>
        <w:rPr>
          <w:rFonts w:hint="eastAsia" w:ascii="方正大标宋简体" w:hAnsi="方正大标宋简体" w:eastAsia="方正大标宋简体" w:cs="方正大标宋简体"/>
          <w:sz w:val="44"/>
          <w:szCs w:val="44"/>
          <w:highlight w:val="none"/>
        </w:rPr>
        <w:t>中国金融期货交易所</w:t>
      </w:r>
      <w:bookmarkEnd w:id="0"/>
    </w:p>
    <w:p>
      <w:pPr>
        <w:pageBreakBefore w:val="0"/>
        <w:widowControl w:val="0"/>
        <w:numPr>
          <w:ilvl w:val="0"/>
          <w:numId w:val="0"/>
        </w:numPr>
        <w:kinsoku/>
        <w:wordWrap/>
        <w:overflowPunct/>
        <w:topLinePunct w:val="0"/>
        <w:autoSpaceDE/>
        <w:autoSpaceDN/>
        <w:bidi w:val="0"/>
        <w:adjustRightInd/>
        <w:spacing w:line="480" w:lineRule="auto"/>
        <w:ind w:left="0" w:leftChars="0" w:firstLine="0" w:firstLineChars="0"/>
        <w:jc w:val="center"/>
        <w:textAlignment w:val="auto"/>
        <w:rPr>
          <w:rFonts w:hint="eastAsia" w:ascii="方正大标宋简体" w:hAnsi="方正大标宋简体" w:eastAsia="方正大标宋简体" w:cs="方正大标宋简体"/>
          <w:b w:val="0"/>
          <w:bCs w:val="0"/>
          <w:sz w:val="44"/>
          <w:szCs w:val="44"/>
          <w:highlight w:val="none"/>
          <w:lang w:eastAsia="zh-CN"/>
        </w:rPr>
      </w:pPr>
      <w:r>
        <w:rPr>
          <w:rFonts w:hint="eastAsia" w:ascii="方正大标宋简体" w:hAnsi="方正大标宋简体" w:eastAsia="方正大标宋简体" w:cs="方正大标宋简体"/>
          <w:sz w:val="44"/>
          <w:szCs w:val="44"/>
          <w:highlight w:val="none"/>
        </w:rPr>
        <w:t>国债期权</w:t>
      </w:r>
      <w:r>
        <w:rPr>
          <w:rFonts w:hint="eastAsia" w:ascii="方正大标宋简体" w:hAnsi="方正大标宋简体" w:eastAsia="方正大标宋简体" w:cs="方正大标宋简体"/>
          <w:sz w:val="44"/>
          <w:szCs w:val="44"/>
          <w:highlight w:val="none"/>
          <w:lang w:eastAsia="zh-CN"/>
        </w:rPr>
        <w:t>仿真交易</w:t>
      </w:r>
      <w:r>
        <w:rPr>
          <w:rFonts w:hint="eastAsia" w:ascii="方正大标宋简体" w:hAnsi="方正大标宋简体" w:eastAsia="方正大标宋简体" w:cs="方正大标宋简体"/>
          <w:sz w:val="44"/>
          <w:szCs w:val="44"/>
          <w:highlight w:val="none"/>
        </w:rPr>
        <w:t>行权</w:t>
      </w:r>
      <w:r>
        <w:rPr>
          <w:rFonts w:hint="eastAsia" w:ascii="方正大标宋简体" w:hAnsi="方正大标宋简体" w:eastAsia="方正大标宋简体" w:cs="方正大标宋简体"/>
          <w:sz w:val="44"/>
          <w:szCs w:val="44"/>
          <w:highlight w:val="none"/>
          <w:lang w:eastAsia="zh-CN"/>
        </w:rPr>
        <w:t>（履约）</w:t>
      </w:r>
      <w:r>
        <w:rPr>
          <w:rFonts w:hint="eastAsia" w:ascii="方正大标宋简体" w:hAnsi="方正大标宋简体" w:eastAsia="方正大标宋简体" w:cs="方正大标宋简体"/>
          <w:sz w:val="44"/>
          <w:szCs w:val="44"/>
          <w:highlight w:val="none"/>
        </w:rPr>
        <w:t>业务指南</w:t>
      </w:r>
    </w:p>
    <w:p>
      <w:pPr>
        <w:numPr>
          <w:ilvl w:val="0"/>
          <w:numId w:val="0"/>
        </w:numPr>
        <w:spacing w:before="0" w:beforeLines="-2147483648" w:after="0" w:afterLines="-2147483648" w:line="480" w:lineRule="auto"/>
        <w:ind w:left="0" w:leftChars="0" w:right="0" w:rightChars="0" w:firstLine="441" w:firstLineChars="100"/>
        <w:jc w:val="center"/>
        <w:rPr>
          <w:rFonts w:hint="eastAsia" w:ascii="方正大标宋简体" w:hAnsi="方正大标宋简体" w:eastAsia="方正大标宋简体" w:cs="方正大标宋简体"/>
          <w:b/>
          <w:bCs/>
          <w:sz w:val="44"/>
          <w:szCs w:val="44"/>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bookmarkStart w:id="271" w:name="_GoBack"/>
      <w:bookmarkEnd w:id="271"/>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left="0" w:leftChars="0" w:right="0" w:rightChars="0" w:firstLine="321" w:firstLineChars="100"/>
        <w:jc w:val="center"/>
        <w:rPr>
          <w:rFonts w:hint="eastAsia" w:ascii="Times New Roman" w:hAnsi="Times New Roman" w:eastAsia="仿宋_GB2312" w:cs="Times New Roman"/>
          <w:b/>
          <w:bCs/>
          <w:sz w:val="32"/>
          <w:szCs w:val="32"/>
          <w:highlight w:val="none"/>
          <w:lang w:eastAsia="zh-CN"/>
        </w:rPr>
      </w:pPr>
    </w:p>
    <w:p>
      <w:pPr>
        <w:numPr>
          <w:ilvl w:val="0"/>
          <w:numId w:val="0"/>
        </w:numPr>
        <w:spacing w:before="0" w:beforeLines="-2147483648" w:after="0" w:afterLines="-2147483648" w:line="560" w:lineRule="exact"/>
        <w:ind w:right="0" w:rightChars="0"/>
        <w:jc w:val="both"/>
        <w:rPr>
          <w:rFonts w:hint="eastAsia" w:ascii="Times New Roman" w:hAnsi="Times New Roman" w:eastAsia="仿宋_GB2312" w:cs="Times New Roman"/>
          <w:b/>
          <w:bCs/>
          <w:sz w:val="32"/>
          <w:szCs w:val="32"/>
          <w:highlight w:val="none"/>
          <w:lang w:val="en-US" w:eastAsia="zh-CN"/>
        </w:rPr>
      </w:pPr>
    </w:p>
    <w:p>
      <w:pPr>
        <w:numPr>
          <w:ilvl w:val="0"/>
          <w:numId w:val="0"/>
        </w:numPr>
        <w:spacing w:before="0" w:beforeLines="-2147483648" w:after="0" w:afterLines="-2147483648" w:line="560" w:lineRule="exact"/>
        <w:ind w:right="0" w:rightChars="0"/>
        <w:jc w:val="center"/>
        <w:rPr>
          <w:rFonts w:hint="default"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2024年9月</w:t>
      </w:r>
    </w:p>
    <w:p>
      <w:pPr>
        <w:numPr>
          <w:ilvl w:val="0"/>
          <w:numId w:val="0"/>
        </w:numPr>
        <w:spacing w:before="0" w:beforeLines="-2147483648" w:after="0" w:afterLines="-2147483648" w:line="560" w:lineRule="exact"/>
        <w:ind w:left="0" w:leftChars="0" w:right="0" w:rightChars="0" w:firstLine="321" w:firstLineChars="100"/>
        <w:jc w:val="center"/>
        <w:outlineLvl w:val="0"/>
        <w:rPr>
          <w:rFonts w:hint="default" w:ascii="Times New Roman" w:hAnsi="Times New Roman" w:eastAsia="仿宋_GB2312" w:cs="Times New Roman"/>
          <w:b/>
          <w:bCs/>
          <w:sz w:val="32"/>
          <w:szCs w:val="32"/>
          <w:highlight w:val="none"/>
        </w:rPr>
        <w:sectPr>
          <w:pgSz w:w="11906" w:h="16838"/>
          <w:pgMar w:top="1440" w:right="1800" w:bottom="1440" w:left="1800" w:header="720" w:footer="720" w:gutter="0"/>
          <w:cols w:space="720" w:num="1"/>
          <w:docGrid w:type="lines" w:linePitch="312" w:charSpace="0"/>
        </w:sectPr>
      </w:pPr>
      <w:bookmarkStart w:id="1" w:name="_Toc1286530996"/>
      <w:bookmarkStart w:id="2" w:name="_Toc784985711"/>
      <w:bookmarkStart w:id="3" w:name="_Toc937236616"/>
      <w:bookmarkStart w:id="4" w:name="_Toc2114763758"/>
    </w:p>
    <w:p>
      <w:pPr>
        <w:numPr>
          <w:ilvl w:val="0"/>
          <w:numId w:val="0"/>
        </w:numPr>
        <w:spacing w:before="0" w:beforeLines="-2147483648" w:after="0" w:afterLines="-2147483648" w:line="560" w:lineRule="exact"/>
        <w:ind w:left="0" w:leftChars="0" w:right="0" w:rightChars="0" w:firstLine="321" w:firstLineChars="100"/>
        <w:jc w:val="center"/>
        <w:outlineLvl w:val="0"/>
        <w:rPr>
          <w:rFonts w:hint="default" w:ascii="Times New Roman" w:hAnsi="Times New Roman" w:eastAsia="仿宋_GB2312"/>
          <w:b/>
          <w:bCs/>
          <w:sz w:val="32"/>
          <w:szCs w:val="32"/>
          <w:highlight w:val="none"/>
        </w:rPr>
      </w:pPr>
      <w:bookmarkStart w:id="5" w:name="_Toc1453921837"/>
      <w:r>
        <w:rPr>
          <w:rFonts w:hint="default" w:ascii="Times New Roman" w:hAnsi="Times New Roman" w:eastAsia="仿宋_GB2312"/>
          <w:b/>
          <w:bCs/>
          <w:sz w:val="32"/>
          <w:szCs w:val="32"/>
          <w:highlight w:val="none"/>
        </w:rPr>
        <w:t>目录</w:t>
      </w:r>
      <w:bookmarkEnd w:id="1"/>
      <w:bookmarkEnd w:id="2"/>
      <w:bookmarkEnd w:id="3"/>
      <w:bookmarkEnd w:id="4"/>
      <w:bookmarkEnd w:id="5"/>
    </w:p>
    <w:p>
      <w:pPr>
        <w:numPr>
          <w:ilvl w:val="0"/>
          <w:numId w:val="0"/>
        </w:numPr>
        <w:spacing w:before="0" w:beforeLines="-2147483648" w:after="0" w:afterLines="-2147483648" w:line="560" w:lineRule="exact"/>
        <w:ind w:left="0" w:leftChars="0" w:right="0" w:rightChars="0" w:firstLine="321" w:firstLineChars="100"/>
        <w:jc w:val="center"/>
        <w:rPr>
          <w:rFonts w:hint="default" w:ascii="Times New Roman" w:hAnsi="Times New Roman" w:eastAsia="仿宋_GB2312"/>
          <w:b/>
          <w:bCs/>
          <w:sz w:val="32"/>
          <w:szCs w:val="32"/>
          <w:highlight w:val="none"/>
        </w:rPr>
      </w:pPr>
    </w:p>
    <w:p>
      <w:pPr>
        <w:pStyle w:val="10"/>
        <w:tabs>
          <w:tab w:val="right" w:leader="dot" w:pos="8306"/>
        </w:tabs>
        <w:snapToGrid w:val="0"/>
        <w:spacing w:line="360" w:lineRule="auto"/>
        <w:rPr>
          <w:rFonts w:ascii="Times New Roman" w:hAnsi="Times New Roman"/>
          <w:sz w:val="24"/>
          <w:szCs w:val="24"/>
          <w:highlight w:val="none"/>
        </w:rPr>
      </w:pPr>
      <w:r>
        <w:rPr>
          <w:rFonts w:hint="default" w:ascii="Times New Roman" w:hAnsi="Times New Roman" w:eastAsia="仿宋_GB2312" w:cs="Times New Roman"/>
          <w:sz w:val="40"/>
          <w:szCs w:val="40"/>
          <w:highlight w:val="none"/>
          <w:lang w:eastAsia="zh-CN"/>
        </w:rPr>
        <w:fldChar w:fldCharType="begin"/>
      </w:r>
      <w:r>
        <w:rPr>
          <w:rFonts w:hint="default" w:ascii="Times New Roman" w:hAnsi="Times New Roman" w:eastAsia="仿宋_GB2312" w:cs="Times New Roman"/>
          <w:sz w:val="40"/>
          <w:szCs w:val="40"/>
          <w:highlight w:val="none"/>
          <w:lang w:eastAsia="zh-CN"/>
        </w:rPr>
        <w:instrText xml:space="preserve">TOC \o "1-3" \h \u </w:instrText>
      </w:r>
      <w:r>
        <w:rPr>
          <w:rFonts w:hint="default" w:ascii="Times New Roman" w:hAnsi="Times New Roman" w:eastAsia="仿宋_GB2312" w:cs="Times New Roman"/>
          <w:sz w:val="40"/>
          <w:szCs w:val="40"/>
          <w:highlight w:val="none"/>
          <w:lang w:eastAsia="zh-CN"/>
        </w:rPr>
        <w:fldChar w:fldCharType="separate"/>
      </w:r>
      <w:r>
        <w:rPr>
          <w:rFonts w:hint="default" w:ascii="Times New Roman" w:hAnsi="Times New Roman" w:eastAsia="仿宋_GB2312" w:cs="Times New Roman"/>
          <w:sz w:val="24"/>
          <w:szCs w:val="24"/>
          <w:highlight w:val="none"/>
          <w:lang w:eastAsia="zh-CN"/>
        </w:rPr>
        <w:fldChar w:fldCharType="begin"/>
      </w:r>
      <w:r>
        <w:rPr>
          <w:rFonts w:hint="default" w:ascii="Times New Roman" w:hAnsi="Times New Roman" w:eastAsia="仿宋_GB2312" w:cs="Times New Roman"/>
          <w:sz w:val="24"/>
          <w:szCs w:val="24"/>
          <w:highlight w:val="none"/>
          <w:lang w:eastAsia="zh-CN"/>
        </w:rPr>
        <w:instrText xml:space="preserve"> HYPERLINK \l _Toc1895438925 </w:instrText>
      </w:r>
      <w:r>
        <w:rPr>
          <w:rFonts w:hint="default" w:ascii="Times New Roman" w:hAnsi="Times New Roman" w:eastAsia="仿宋_GB2312" w:cs="Times New Roman"/>
          <w:sz w:val="24"/>
          <w:szCs w:val="24"/>
          <w:highlight w:val="none"/>
          <w:lang w:eastAsia="zh-CN"/>
        </w:rPr>
        <w:fldChar w:fldCharType="separate"/>
      </w:r>
      <w:r>
        <w:rPr>
          <w:rFonts w:hint="default" w:ascii="Times New Roman" w:hAnsi="Times New Roman" w:eastAsia="黑体" w:cs="Times New Roman"/>
          <w:bCs/>
          <w:kern w:val="44"/>
          <w:sz w:val="24"/>
          <w:szCs w:val="24"/>
          <w:highlight w:val="none"/>
          <w:lang w:eastAsia="zh-CN"/>
        </w:rPr>
        <w:t>声明：</w:t>
      </w:r>
      <w:r>
        <w:rPr>
          <w:rFonts w:ascii="Times New Roman" w:hAnsi="Times New Roman"/>
          <w:sz w:val="24"/>
          <w:szCs w:val="24"/>
          <w:highlight w:val="none"/>
        </w:rPr>
        <w:tab/>
      </w:r>
      <w:r>
        <w:rPr>
          <w:rFonts w:ascii="Times New Roman" w:hAnsi="Times New Roman"/>
          <w:sz w:val="24"/>
          <w:szCs w:val="24"/>
          <w:highlight w:val="none"/>
        </w:rPr>
        <w:fldChar w:fldCharType="begin"/>
      </w:r>
      <w:r>
        <w:rPr>
          <w:rFonts w:ascii="Times New Roman" w:hAnsi="Times New Roman"/>
          <w:sz w:val="24"/>
          <w:szCs w:val="24"/>
          <w:highlight w:val="none"/>
        </w:rPr>
        <w:instrText xml:space="preserve"> PAGEREF _Toc1895438925 </w:instrText>
      </w:r>
      <w:r>
        <w:rPr>
          <w:rFonts w:ascii="Times New Roman" w:hAnsi="Times New Roman"/>
          <w:sz w:val="24"/>
          <w:szCs w:val="24"/>
          <w:highlight w:val="none"/>
        </w:rPr>
        <w:fldChar w:fldCharType="separate"/>
      </w:r>
      <w:r>
        <w:rPr>
          <w:rFonts w:ascii="Times New Roman" w:hAnsi="Times New Roman"/>
          <w:sz w:val="24"/>
          <w:szCs w:val="24"/>
          <w:highlight w:val="none"/>
        </w:rPr>
        <w:t>1</w:t>
      </w:r>
      <w:r>
        <w:rPr>
          <w:rFonts w:ascii="Times New Roman" w:hAnsi="Times New Roman"/>
          <w:sz w:val="24"/>
          <w:szCs w:val="24"/>
          <w:highlight w:val="none"/>
        </w:rPr>
        <w:fldChar w:fldCharType="end"/>
      </w:r>
      <w:r>
        <w:rPr>
          <w:rFonts w:hint="default" w:ascii="Times New Roman" w:hAnsi="Times New Roman" w:eastAsia="仿宋_GB2312" w:cs="Times New Roman"/>
          <w:sz w:val="24"/>
          <w:szCs w:val="24"/>
          <w:highlight w:val="none"/>
          <w:lang w:eastAsia="zh-CN"/>
        </w:rPr>
        <w:fldChar w:fldCharType="end"/>
      </w:r>
    </w:p>
    <w:p>
      <w:pPr>
        <w:pStyle w:val="10"/>
        <w:tabs>
          <w:tab w:val="right" w:leader="dot" w:pos="8306"/>
        </w:tabs>
        <w:snapToGrid w:val="0"/>
        <w:spacing w:line="360" w:lineRule="auto"/>
        <w:rPr>
          <w:rFonts w:ascii="Times New Roman" w:hAnsi="Times New Roman"/>
          <w:sz w:val="24"/>
          <w:szCs w:val="24"/>
          <w:highlight w:val="none"/>
        </w:rPr>
      </w:pPr>
      <w:r>
        <w:rPr>
          <w:rFonts w:hint="default" w:ascii="Times New Roman" w:hAnsi="Times New Roman" w:eastAsia="仿宋_GB2312" w:cs="Times New Roman"/>
          <w:sz w:val="24"/>
          <w:szCs w:val="24"/>
          <w:highlight w:val="none"/>
          <w:lang w:eastAsia="zh-CN"/>
        </w:rPr>
        <w:fldChar w:fldCharType="begin"/>
      </w:r>
      <w:r>
        <w:rPr>
          <w:rFonts w:hint="default" w:ascii="Times New Roman" w:hAnsi="Times New Roman" w:eastAsia="仿宋_GB2312" w:cs="Times New Roman"/>
          <w:sz w:val="24"/>
          <w:szCs w:val="24"/>
          <w:highlight w:val="none"/>
          <w:lang w:eastAsia="zh-CN"/>
        </w:rPr>
        <w:instrText xml:space="preserve"> HYPERLINK \l _Toc496249516 </w:instrText>
      </w:r>
      <w:r>
        <w:rPr>
          <w:rFonts w:hint="default" w:ascii="Times New Roman" w:hAnsi="Times New Roman" w:eastAsia="仿宋_GB2312" w:cs="Times New Roman"/>
          <w:sz w:val="24"/>
          <w:szCs w:val="24"/>
          <w:highlight w:val="none"/>
          <w:lang w:eastAsia="zh-CN"/>
        </w:rPr>
        <w:fldChar w:fldCharType="separate"/>
      </w:r>
      <w:r>
        <w:rPr>
          <w:rFonts w:hint="eastAsia" w:ascii="Times New Roman" w:hAnsi="Times New Roman" w:eastAsia="黑体" w:cs="Times New Roman"/>
          <w:bCs/>
          <w:sz w:val="24"/>
          <w:szCs w:val="24"/>
          <w:highlight w:val="none"/>
          <w:lang w:eastAsia="zh-CN"/>
        </w:rPr>
        <w:t xml:space="preserve">一、 </w:t>
      </w:r>
      <w:r>
        <w:rPr>
          <w:rFonts w:hint="default" w:ascii="Times New Roman" w:hAnsi="Times New Roman" w:eastAsia="黑体" w:cs="Times New Roman"/>
          <w:bCs/>
          <w:sz w:val="24"/>
          <w:szCs w:val="24"/>
          <w:highlight w:val="none"/>
          <w:lang w:eastAsia="zh-CN"/>
        </w:rPr>
        <w:t>交易所行权</w:t>
      </w:r>
      <w:r>
        <w:rPr>
          <w:rFonts w:hint="eastAsia" w:ascii="Times New Roman" w:hAnsi="Times New Roman" w:eastAsia="黑体" w:cs="Times New Roman"/>
          <w:bCs/>
          <w:sz w:val="24"/>
          <w:szCs w:val="24"/>
          <w:highlight w:val="none"/>
          <w:lang w:eastAsia="zh-CN"/>
        </w:rPr>
        <w:t>（</w:t>
      </w:r>
      <w:r>
        <w:rPr>
          <w:rFonts w:hint="default" w:ascii="Times New Roman" w:hAnsi="Times New Roman" w:eastAsia="黑体" w:cs="Times New Roman"/>
          <w:bCs/>
          <w:sz w:val="24"/>
          <w:szCs w:val="24"/>
          <w:highlight w:val="none"/>
          <w:lang w:eastAsia="zh-CN"/>
        </w:rPr>
        <w:t>履约</w:t>
      </w:r>
      <w:r>
        <w:rPr>
          <w:rFonts w:hint="eastAsia" w:ascii="Times New Roman" w:hAnsi="Times New Roman" w:eastAsia="黑体" w:cs="Times New Roman"/>
          <w:bCs/>
          <w:sz w:val="24"/>
          <w:szCs w:val="24"/>
          <w:highlight w:val="none"/>
          <w:lang w:eastAsia="zh-CN"/>
        </w:rPr>
        <w:t>）</w:t>
      </w:r>
      <w:r>
        <w:rPr>
          <w:rFonts w:hint="default" w:ascii="Times New Roman" w:hAnsi="Times New Roman" w:eastAsia="黑体" w:cs="Times New Roman"/>
          <w:bCs/>
          <w:sz w:val="24"/>
          <w:szCs w:val="24"/>
          <w:highlight w:val="none"/>
          <w:lang w:eastAsia="zh-CN"/>
        </w:rPr>
        <w:t>处理</w:t>
      </w:r>
      <w:r>
        <w:rPr>
          <w:rFonts w:ascii="Times New Roman" w:hAnsi="Times New Roman"/>
          <w:sz w:val="24"/>
          <w:szCs w:val="24"/>
          <w:highlight w:val="none"/>
        </w:rPr>
        <w:tab/>
      </w:r>
      <w:r>
        <w:rPr>
          <w:rFonts w:ascii="Times New Roman" w:hAnsi="Times New Roman"/>
          <w:sz w:val="24"/>
          <w:szCs w:val="24"/>
          <w:highlight w:val="none"/>
        </w:rPr>
        <w:fldChar w:fldCharType="begin"/>
      </w:r>
      <w:r>
        <w:rPr>
          <w:rFonts w:ascii="Times New Roman" w:hAnsi="Times New Roman"/>
          <w:sz w:val="24"/>
          <w:szCs w:val="24"/>
          <w:highlight w:val="none"/>
        </w:rPr>
        <w:instrText xml:space="preserve"> PAGEREF _Toc496249516 </w:instrText>
      </w:r>
      <w:r>
        <w:rPr>
          <w:rFonts w:ascii="Times New Roman" w:hAnsi="Times New Roman"/>
          <w:sz w:val="24"/>
          <w:szCs w:val="24"/>
          <w:highlight w:val="none"/>
        </w:rPr>
        <w:fldChar w:fldCharType="separate"/>
      </w:r>
      <w:r>
        <w:rPr>
          <w:rFonts w:ascii="Times New Roman" w:hAnsi="Times New Roman"/>
          <w:sz w:val="24"/>
          <w:szCs w:val="24"/>
          <w:highlight w:val="none"/>
        </w:rPr>
        <w:t>2</w:t>
      </w:r>
      <w:r>
        <w:rPr>
          <w:rFonts w:ascii="Times New Roman" w:hAnsi="Times New Roman"/>
          <w:sz w:val="24"/>
          <w:szCs w:val="24"/>
          <w:highlight w:val="none"/>
        </w:rPr>
        <w:fldChar w:fldCharType="end"/>
      </w:r>
      <w:r>
        <w:rPr>
          <w:rFonts w:hint="default" w:ascii="Times New Roman" w:hAnsi="Times New Roman" w:eastAsia="仿宋_GB2312" w:cs="Times New Roman"/>
          <w:sz w:val="24"/>
          <w:szCs w:val="2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_Toc1008993243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bCs w:val="0"/>
          <w:sz w:val="22"/>
          <w:szCs w:val="28"/>
          <w:highlight w:val="none"/>
          <w:lang w:eastAsia="zh-CN"/>
        </w:rPr>
        <w:t>（一） 期权类型</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_Toc1008993243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2</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_Toc1008053724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（二） 行权申请</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_Toc1008053724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2</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_Toc237533157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bCs w:val="0"/>
          <w:sz w:val="22"/>
          <w:szCs w:val="28"/>
          <w:highlight w:val="none"/>
          <w:lang w:eastAsia="zh-CN"/>
        </w:rPr>
        <w:t>（三） 行权检查</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_Toc237533157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2</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_Toc16964782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（四） 提交行权最低盈利金额</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_Toc16964782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2</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_Toc693443578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（五） 自动行权和放弃</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_Toc693443578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2</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_Toc1763410661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 xml:space="preserve">（六） </w:t>
      </w:r>
      <w:r>
        <w:rPr>
          <w:rFonts w:hint="default" w:ascii="Times New Roman" w:hAnsi="Times New Roman" w:eastAsia="楷体_GB2312" w:cs="Times New Roman"/>
          <w:sz w:val="22"/>
          <w:szCs w:val="28"/>
          <w:highlight w:val="none"/>
          <w:lang w:eastAsia="zh-CN"/>
        </w:rPr>
        <w:t>行权配对</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_Toc1763410661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3</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_Toc511398078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 xml:space="preserve">（七） </w:t>
      </w:r>
      <w:r>
        <w:rPr>
          <w:rFonts w:hint="default" w:ascii="Times New Roman" w:hAnsi="Times New Roman" w:eastAsia="楷体_GB2312" w:cs="Times New Roman"/>
          <w:sz w:val="22"/>
          <w:szCs w:val="28"/>
          <w:highlight w:val="none"/>
          <w:lang w:eastAsia="zh-CN"/>
        </w:rPr>
        <w:t>行权与履约结果</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_Toc511398078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3</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_Toc219596868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 xml:space="preserve">（八） </w:t>
      </w:r>
      <w:r>
        <w:rPr>
          <w:rFonts w:hint="default" w:ascii="Times New Roman" w:hAnsi="Times New Roman" w:eastAsia="楷体_GB2312" w:cs="Times New Roman"/>
          <w:sz w:val="22"/>
          <w:szCs w:val="28"/>
          <w:highlight w:val="none"/>
          <w:lang w:eastAsia="zh-CN"/>
        </w:rPr>
        <w:t>期权双向持仓自动对冲</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_Toc219596868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3</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_Toc1698526584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 xml:space="preserve">（九） </w:t>
      </w:r>
      <w:r>
        <w:rPr>
          <w:rFonts w:hint="default" w:ascii="Times New Roman" w:hAnsi="Times New Roman" w:eastAsia="楷体_GB2312" w:cs="Times New Roman"/>
          <w:sz w:val="22"/>
          <w:szCs w:val="28"/>
          <w:highlight w:val="none"/>
          <w:lang w:eastAsia="zh-CN"/>
        </w:rPr>
        <w:t>行权（履约）后期货双向持仓自动对冲</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_Toc1698526584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4</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0"/>
        <w:tabs>
          <w:tab w:val="right" w:leader="dot" w:pos="8306"/>
        </w:tabs>
        <w:snapToGrid w:val="0"/>
        <w:spacing w:line="360" w:lineRule="auto"/>
        <w:rPr>
          <w:rFonts w:ascii="Times New Roman" w:hAnsi="Times New Roman"/>
          <w:sz w:val="24"/>
          <w:szCs w:val="24"/>
          <w:highlight w:val="none"/>
        </w:rPr>
      </w:pPr>
      <w:r>
        <w:rPr>
          <w:rFonts w:hint="default" w:ascii="Times New Roman" w:hAnsi="Times New Roman" w:eastAsia="仿宋_GB2312" w:cs="Times New Roman"/>
          <w:sz w:val="24"/>
          <w:szCs w:val="24"/>
          <w:highlight w:val="none"/>
          <w:lang w:eastAsia="zh-CN"/>
        </w:rPr>
        <w:fldChar w:fldCharType="begin"/>
      </w:r>
      <w:r>
        <w:rPr>
          <w:rFonts w:hint="default" w:ascii="Times New Roman" w:hAnsi="Times New Roman" w:eastAsia="仿宋_GB2312" w:cs="Times New Roman"/>
          <w:sz w:val="24"/>
          <w:szCs w:val="24"/>
          <w:highlight w:val="none"/>
          <w:lang w:eastAsia="zh-CN"/>
        </w:rPr>
        <w:instrText xml:space="preserve"> HYPERLINK \l _Toc892381265 </w:instrText>
      </w:r>
      <w:r>
        <w:rPr>
          <w:rFonts w:hint="default" w:ascii="Times New Roman" w:hAnsi="Times New Roman" w:eastAsia="仿宋_GB2312" w:cs="Times New Roman"/>
          <w:sz w:val="24"/>
          <w:szCs w:val="24"/>
          <w:highlight w:val="none"/>
          <w:lang w:eastAsia="zh-CN"/>
        </w:rPr>
        <w:fldChar w:fldCharType="separate"/>
      </w:r>
      <w:r>
        <w:rPr>
          <w:rFonts w:hint="eastAsia" w:ascii="Times New Roman" w:hAnsi="Times New Roman" w:eastAsia="黑体" w:cs="Times New Roman"/>
          <w:bCs/>
          <w:sz w:val="24"/>
          <w:szCs w:val="24"/>
          <w:highlight w:val="none"/>
          <w:lang w:eastAsia="zh-CN"/>
        </w:rPr>
        <w:t xml:space="preserve">二、 </w:t>
      </w:r>
      <w:r>
        <w:rPr>
          <w:rFonts w:hint="default" w:ascii="Times New Roman" w:hAnsi="Times New Roman" w:eastAsia="黑体" w:cs="Times New Roman"/>
          <w:bCs/>
          <w:sz w:val="24"/>
          <w:szCs w:val="24"/>
          <w:highlight w:val="none"/>
          <w:lang w:eastAsia="zh-CN"/>
        </w:rPr>
        <w:t>期货公司行权</w:t>
      </w:r>
      <w:r>
        <w:rPr>
          <w:rFonts w:hint="eastAsia" w:ascii="Times New Roman" w:hAnsi="Times New Roman" w:eastAsia="黑体" w:cs="Times New Roman"/>
          <w:bCs/>
          <w:sz w:val="24"/>
          <w:szCs w:val="24"/>
          <w:highlight w:val="none"/>
          <w:lang w:eastAsia="zh-CN"/>
        </w:rPr>
        <w:t>（</w:t>
      </w:r>
      <w:r>
        <w:rPr>
          <w:rFonts w:hint="default" w:ascii="Times New Roman" w:hAnsi="Times New Roman" w:eastAsia="黑体" w:cs="Times New Roman"/>
          <w:bCs/>
          <w:sz w:val="24"/>
          <w:szCs w:val="24"/>
          <w:highlight w:val="none"/>
          <w:lang w:eastAsia="zh-CN"/>
        </w:rPr>
        <w:t>履约</w:t>
      </w:r>
      <w:r>
        <w:rPr>
          <w:rFonts w:hint="eastAsia" w:ascii="Times New Roman" w:hAnsi="Times New Roman" w:eastAsia="黑体" w:cs="Times New Roman"/>
          <w:bCs/>
          <w:sz w:val="24"/>
          <w:szCs w:val="24"/>
          <w:highlight w:val="none"/>
          <w:lang w:eastAsia="zh-CN"/>
        </w:rPr>
        <w:t>）</w:t>
      </w:r>
      <w:r>
        <w:rPr>
          <w:rFonts w:hint="default" w:ascii="Times New Roman" w:hAnsi="Times New Roman" w:eastAsia="黑体" w:cs="Times New Roman"/>
          <w:bCs/>
          <w:sz w:val="24"/>
          <w:szCs w:val="24"/>
          <w:highlight w:val="none"/>
          <w:lang w:eastAsia="zh-CN"/>
        </w:rPr>
        <w:t>处理</w:t>
      </w:r>
      <w:r>
        <w:rPr>
          <w:rFonts w:ascii="Times New Roman" w:hAnsi="Times New Roman"/>
          <w:sz w:val="24"/>
          <w:szCs w:val="24"/>
          <w:highlight w:val="none"/>
        </w:rPr>
        <w:tab/>
      </w:r>
      <w:r>
        <w:rPr>
          <w:rFonts w:ascii="Times New Roman" w:hAnsi="Times New Roman"/>
          <w:sz w:val="24"/>
          <w:szCs w:val="24"/>
          <w:highlight w:val="none"/>
        </w:rPr>
        <w:fldChar w:fldCharType="begin"/>
      </w:r>
      <w:r>
        <w:rPr>
          <w:rFonts w:ascii="Times New Roman" w:hAnsi="Times New Roman"/>
          <w:sz w:val="24"/>
          <w:szCs w:val="24"/>
          <w:highlight w:val="none"/>
        </w:rPr>
        <w:instrText xml:space="preserve"> PAGEREF _Toc892381265 </w:instrText>
      </w:r>
      <w:r>
        <w:rPr>
          <w:rFonts w:ascii="Times New Roman" w:hAnsi="Times New Roman"/>
          <w:sz w:val="24"/>
          <w:szCs w:val="24"/>
          <w:highlight w:val="none"/>
        </w:rPr>
        <w:fldChar w:fldCharType="separate"/>
      </w:r>
      <w:r>
        <w:rPr>
          <w:rFonts w:ascii="Times New Roman" w:hAnsi="Times New Roman"/>
          <w:sz w:val="24"/>
          <w:szCs w:val="24"/>
          <w:highlight w:val="none"/>
        </w:rPr>
        <w:t>4</w:t>
      </w:r>
      <w:r>
        <w:rPr>
          <w:rFonts w:ascii="Times New Roman" w:hAnsi="Times New Roman"/>
          <w:sz w:val="24"/>
          <w:szCs w:val="24"/>
          <w:highlight w:val="none"/>
        </w:rPr>
        <w:fldChar w:fldCharType="end"/>
      </w:r>
      <w:r>
        <w:rPr>
          <w:rFonts w:hint="default" w:ascii="Times New Roman" w:hAnsi="Times New Roman" w:eastAsia="仿宋_GB2312" w:cs="Times New Roman"/>
          <w:sz w:val="24"/>
          <w:szCs w:val="2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_Toc672279229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（一） 买方主动行权前端检查</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_Toc672279229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4</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_Toc1624894029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（二） 期权到期提醒</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_Toc1624894029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5</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_Toc336191394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（三） 行权资金测算</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_Toc336191394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5</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_Toc515071410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（四） 会员代客户提交放弃行权申请</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_Toc515071410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5</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_Toc461162424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（五） 通过参与人平台提交行权和放弃行权申请</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_Toc461162424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5</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0"/>
        <w:tabs>
          <w:tab w:val="right" w:leader="dot" w:pos="8306"/>
        </w:tabs>
        <w:snapToGrid w:val="0"/>
        <w:spacing w:line="360" w:lineRule="auto"/>
        <w:rPr>
          <w:rFonts w:ascii="Times New Roman" w:hAnsi="Times New Roman"/>
          <w:sz w:val="24"/>
          <w:szCs w:val="24"/>
          <w:highlight w:val="none"/>
        </w:rPr>
      </w:pPr>
      <w:r>
        <w:rPr>
          <w:rFonts w:hint="default" w:ascii="Times New Roman" w:hAnsi="Times New Roman" w:eastAsia="仿宋_GB2312" w:cs="Times New Roman"/>
          <w:sz w:val="24"/>
          <w:szCs w:val="24"/>
          <w:highlight w:val="none"/>
          <w:lang w:eastAsia="zh-CN"/>
        </w:rPr>
        <w:fldChar w:fldCharType="begin"/>
      </w:r>
      <w:r>
        <w:rPr>
          <w:rFonts w:hint="default" w:ascii="Times New Roman" w:hAnsi="Times New Roman" w:eastAsia="仿宋_GB2312" w:cs="Times New Roman"/>
          <w:sz w:val="24"/>
          <w:szCs w:val="24"/>
          <w:highlight w:val="none"/>
          <w:lang w:eastAsia="zh-CN"/>
        </w:rPr>
        <w:instrText xml:space="preserve"> HYPERLINK \l _Toc279751903 </w:instrText>
      </w:r>
      <w:r>
        <w:rPr>
          <w:rFonts w:hint="default" w:ascii="Times New Roman" w:hAnsi="Times New Roman" w:eastAsia="仿宋_GB2312" w:cs="Times New Roman"/>
          <w:sz w:val="24"/>
          <w:szCs w:val="24"/>
          <w:highlight w:val="none"/>
          <w:lang w:eastAsia="zh-CN"/>
        </w:rPr>
        <w:fldChar w:fldCharType="separate"/>
      </w:r>
      <w:r>
        <w:rPr>
          <w:rFonts w:hint="eastAsia" w:ascii="Times New Roman" w:hAnsi="Times New Roman" w:eastAsia="黑体" w:cs="Times New Roman"/>
          <w:bCs/>
          <w:sz w:val="24"/>
          <w:szCs w:val="24"/>
          <w:highlight w:val="none"/>
          <w:lang w:eastAsia="zh-CN"/>
        </w:rPr>
        <w:t xml:space="preserve">三、 </w:t>
      </w:r>
      <w:r>
        <w:rPr>
          <w:rFonts w:hint="default" w:ascii="Times New Roman" w:hAnsi="Times New Roman" w:eastAsia="黑体" w:cs="Times New Roman"/>
          <w:bCs/>
          <w:sz w:val="24"/>
          <w:szCs w:val="24"/>
          <w:highlight w:val="none"/>
          <w:lang w:eastAsia="zh-CN"/>
        </w:rPr>
        <w:t>行权时间、方式与处理顺序</w:t>
      </w:r>
      <w:r>
        <w:rPr>
          <w:rFonts w:ascii="Times New Roman" w:hAnsi="Times New Roman"/>
          <w:sz w:val="24"/>
          <w:szCs w:val="24"/>
          <w:highlight w:val="none"/>
        </w:rPr>
        <w:tab/>
      </w:r>
      <w:r>
        <w:rPr>
          <w:rFonts w:ascii="Times New Roman" w:hAnsi="Times New Roman"/>
          <w:sz w:val="24"/>
          <w:szCs w:val="24"/>
          <w:highlight w:val="none"/>
        </w:rPr>
        <w:fldChar w:fldCharType="begin"/>
      </w:r>
      <w:r>
        <w:rPr>
          <w:rFonts w:ascii="Times New Roman" w:hAnsi="Times New Roman"/>
          <w:sz w:val="24"/>
          <w:szCs w:val="24"/>
          <w:highlight w:val="none"/>
        </w:rPr>
        <w:instrText xml:space="preserve"> PAGEREF _Toc279751903 </w:instrText>
      </w:r>
      <w:r>
        <w:rPr>
          <w:rFonts w:ascii="Times New Roman" w:hAnsi="Times New Roman"/>
          <w:sz w:val="24"/>
          <w:szCs w:val="24"/>
          <w:highlight w:val="none"/>
        </w:rPr>
        <w:fldChar w:fldCharType="separate"/>
      </w:r>
      <w:r>
        <w:rPr>
          <w:rFonts w:ascii="Times New Roman" w:hAnsi="Times New Roman"/>
          <w:sz w:val="24"/>
          <w:szCs w:val="24"/>
          <w:highlight w:val="none"/>
        </w:rPr>
        <w:t>6</w:t>
      </w:r>
      <w:r>
        <w:rPr>
          <w:rFonts w:ascii="Times New Roman" w:hAnsi="Times New Roman"/>
          <w:sz w:val="24"/>
          <w:szCs w:val="24"/>
          <w:highlight w:val="none"/>
        </w:rPr>
        <w:fldChar w:fldCharType="end"/>
      </w:r>
      <w:r>
        <w:rPr>
          <w:rFonts w:hint="default" w:ascii="Times New Roman" w:hAnsi="Times New Roman" w:eastAsia="仿宋_GB2312" w:cs="Times New Roman"/>
          <w:sz w:val="24"/>
          <w:szCs w:val="2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_Toc26327660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（一） 非到期日</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_Toc26327660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6</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_Toc1932738581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（二） 到期日</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_Toc1932738581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6</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_Toc544394721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val="en-US" w:eastAsia="zh-CN"/>
        </w:rPr>
        <w:t>（三） 行权处理顺序</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_Toc544394721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6</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0"/>
        <w:tabs>
          <w:tab w:val="right" w:leader="dot" w:pos="8306"/>
        </w:tabs>
        <w:snapToGrid w:val="0"/>
        <w:spacing w:line="360" w:lineRule="auto"/>
        <w:rPr>
          <w:rFonts w:ascii="Times New Roman" w:hAnsi="Times New Roman"/>
          <w:sz w:val="24"/>
          <w:szCs w:val="24"/>
          <w:highlight w:val="none"/>
        </w:rPr>
      </w:pPr>
      <w:r>
        <w:rPr>
          <w:rFonts w:hint="default" w:ascii="Times New Roman" w:hAnsi="Times New Roman" w:eastAsia="仿宋_GB2312" w:cs="Times New Roman"/>
          <w:sz w:val="24"/>
          <w:szCs w:val="24"/>
          <w:highlight w:val="none"/>
          <w:lang w:eastAsia="zh-CN"/>
        </w:rPr>
        <w:fldChar w:fldCharType="begin"/>
      </w:r>
      <w:r>
        <w:rPr>
          <w:rFonts w:hint="default" w:ascii="Times New Roman" w:hAnsi="Times New Roman" w:eastAsia="仿宋_GB2312" w:cs="Times New Roman"/>
          <w:sz w:val="24"/>
          <w:szCs w:val="24"/>
          <w:highlight w:val="none"/>
          <w:lang w:eastAsia="zh-CN"/>
        </w:rPr>
        <w:instrText xml:space="preserve"> HYPERLINK \l _Toc106598614 </w:instrText>
      </w:r>
      <w:r>
        <w:rPr>
          <w:rFonts w:hint="default" w:ascii="Times New Roman" w:hAnsi="Times New Roman" w:eastAsia="仿宋_GB2312" w:cs="Times New Roman"/>
          <w:sz w:val="24"/>
          <w:szCs w:val="24"/>
          <w:highlight w:val="none"/>
          <w:lang w:eastAsia="zh-CN"/>
        </w:rPr>
        <w:fldChar w:fldCharType="separate"/>
      </w:r>
      <w:r>
        <w:rPr>
          <w:rFonts w:hint="eastAsia" w:ascii="Times New Roman" w:hAnsi="Times New Roman" w:eastAsia="黑体" w:cs="Times New Roman"/>
          <w:bCs/>
          <w:sz w:val="24"/>
          <w:szCs w:val="24"/>
          <w:highlight w:val="none"/>
          <w:lang w:eastAsia="zh-CN"/>
        </w:rPr>
        <w:t xml:space="preserve">四、 </w:t>
      </w:r>
      <w:r>
        <w:rPr>
          <w:rFonts w:hint="default" w:ascii="Times New Roman" w:hAnsi="Times New Roman" w:eastAsia="黑体" w:cs="Times New Roman"/>
          <w:bCs/>
          <w:sz w:val="24"/>
          <w:szCs w:val="24"/>
          <w:highlight w:val="none"/>
          <w:lang w:eastAsia="zh-CN"/>
        </w:rPr>
        <w:t>注意问题</w:t>
      </w:r>
      <w:r>
        <w:rPr>
          <w:rFonts w:ascii="Times New Roman" w:hAnsi="Times New Roman"/>
          <w:sz w:val="24"/>
          <w:szCs w:val="24"/>
          <w:highlight w:val="none"/>
        </w:rPr>
        <w:tab/>
      </w:r>
      <w:r>
        <w:rPr>
          <w:rFonts w:ascii="Times New Roman" w:hAnsi="Times New Roman"/>
          <w:sz w:val="24"/>
          <w:szCs w:val="24"/>
          <w:highlight w:val="none"/>
        </w:rPr>
        <w:fldChar w:fldCharType="begin"/>
      </w:r>
      <w:r>
        <w:rPr>
          <w:rFonts w:ascii="Times New Roman" w:hAnsi="Times New Roman"/>
          <w:sz w:val="24"/>
          <w:szCs w:val="24"/>
          <w:highlight w:val="none"/>
        </w:rPr>
        <w:instrText xml:space="preserve"> PAGEREF _Toc106598614 </w:instrText>
      </w:r>
      <w:r>
        <w:rPr>
          <w:rFonts w:ascii="Times New Roman" w:hAnsi="Times New Roman"/>
          <w:sz w:val="24"/>
          <w:szCs w:val="24"/>
          <w:highlight w:val="none"/>
        </w:rPr>
        <w:fldChar w:fldCharType="separate"/>
      </w:r>
      <w:r>
        <w:rPr>
          <w:rFonts w:ascii="Times New Roman" w:hAnsi="Times New Roman"/>
          <w:sz w:val="24"/>
          <w:szCs w:val="24"/>
          <w:highlight w:val="none"/>
        </w:rPr>
        <w:t>7</w:t>
      </w:r>
      <w:r>
        <w:rPr>
          <w:rFonts w:ascii="Times New Roman" w:hAnsi="Times New Roman"/>
          <w:sz w:val="24"/>
          <w:szCs w:val="24"/>
          <w:highlight w:val="none"/>
        </w:rPr>
        <w:fldChar w:fldCharType="end"/>
      </w:r>
      <w:r>
        <w:rPr>
          <w:rFonts w:hint="default" w:ascii="Times New Roman" w:hAnsi="Times New Roman" w:eastAsia="仿宋_GB2312" w:cs="Times New Roman"/>
          <w:sz w:val="24"/>
          <w:szCs w:val="2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_Toc121489967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（一） 业务处理顺序</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_Toc121489967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7</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_Toc2060308965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（二） 大量虚值期权行权</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_Toc2060308965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7</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_Toc1796819809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i w:val="0"/>
          <w:iCs w:val="0"/>
          <w:sz w:val="22"/>
          <w:szCs w:val="28"/>
          <w:highlight w:val="none"/>
          <w:lang w:eastAsia="zh-CN"/>
        </w:rPr>
        <w:t>（三） 暂停交易</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_Toc1796819809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7</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Style w:val="12"/>
        <w:tabs>
          <w:tab w:val="right" w:leader="dot" w:pos="8306"/>
        </w:tabs>
        <w:snapToGrid w:val="0"/>
        <w:spacing w:line="360" w:lineRule="auto"/>
        <w:rPr>
          <w:rFonts w:hint="default" w:ascii="Times New Roman" w:hAnsi="Times New Roman" w:eastAsia="楷体_GB2312" w:cs="Times New Roman"/>
          <w:sz w:val="22"/>
          <w:szCs w:val="28"/>
          <w:highlight w:val="none"/>
        </w:rPr>
      </w:pPr>
      <w:r>
        <w:rPr>
          <w:rFonts w:hint="default" w:ascii="Times New Roman" w:hAnsi="Times New Roman" w:eastAsia="楷体_GB2312" w:cs="Times New Roman"/>
          <w:sz w:val="22"/>
          <w:szCs w:val="44"/>
          <w:highlight w:val="none"/>
          <w:lang w:eastAsia="zh-CN"/>
        </w:rPr>
        <w:fldChar w:fldCharType="begin"/>
      </w:r>
      <w:r>
        <w:rPr>
          <w:rFonts w:hint="default" w:ascii="Times New Roman" w:hAnsi="Times New Roman" w:eastAsia="楷体_GB2312" w:cs="Times New Roman"/>
          <w:sz w:val="22"/>
          <w:szCs w:val="44"/>
          <w:highlight w:val="none"/>
          <w:lang w:eastAsia="zh-CN"/>
        </w:rPr>
        <w:instrText xml:space="preserve"> HYPERLINK \l _Toc520716125 </w:instrText>
      </w:r>
      <w:r>
        <w:rPr>
          <w:rFonts w:hint="default" w:ascii="Times New Roman" w:hAnsi="Times New Roman" w:eastAsia="楷体_GB2312" w:cs="Times New Roman"/>
          <w:sz w:val="22"/>
          <w:szCs w:val="44"/>
          <w:highlight w:val="none"/>
          <w:lang w:eastAsia="zh-CN"/>
        </w:rPr>
        <w:fldChar w:fldCharType="separate"/>
      </w:r>
      <w:r>
        <w:rPr>
          <w:rFonts w:hint="default" w:ascii="Times New Roman" w:hAnsi="Times New Roman" w:eastAsia="楷体_GB2312" w:cs="Times New Roman"/>
          <w:sz w:val="22"/>
          <w:szCs w:val="28"/>
          <w:highlight w:val="none"/>
          <w:lang w:eastAsia="zh-CN"/>
        </w:rPr>
        <w:t>（四） 行权（履约）后结算会员资金不足及客户超仓</w:t>
      </w:r>
      <w:r>
        <w:rPr>
          <w:rFonts w:hint="default" w:ascii="Times New Roman" w:hAnsi="Times New Roman" w:eastAsia="楷体_GB2312" w:cs="Times New Roman"/>
          <w:sz w:val="22"/>
          <w:szCs w:val="28"/>
          <w:highlight w:val="none"/>
        </w:rPr>
        <w:tab/>
      </w:r>
      <w:r>
        <w:rPr>
          <w:rFonts w:hint="default" w:ascii="Times New Roman" w:hAnsi="Times New Roman" w:eastAsia="楷体_GB2312" w:cs="Times New Roman"/>
          <w:sz w:val="22"/>
          <w:szCs w:val="28"/>
          <w:highlight w:val="none"/>
        </w:rPr>
        <w:fldChar w:fldCharType="begin"/>
      </w:r>
      <w:r>
        <w:rPr>
          <w:rFonts w:hint="default" w:ascii="Times New Roman" w:hAnsi="Times New Roman" w:eastAsia="楷体_GB2312" w:cs="Times New Roman"/>
          <w:sz w:val="22"/>
          <w:szCs w:val="28"/>
          <w:highlight w:val="none"/>
        </w:rPr>
        <w:instrText xml:space="preserve"> PAGEREF _Toc520716125 </w:instrText>
      </w:r>
      <w:r>
        <w:rPr>
          <w:rFonts w:hint="default" w:ascii="Times New Roman" w:hAnsi="Times New Roman" w:eastAsia="楷体_GB2312" w:cs="Times New Roman"/>
          <w:sz w:val="22"/>
          <w:szCs w:val="28"/>
          <w:highlight w:val="none"/>
        </w:rPr>
        <w:fldChar w:fldCharType="separate"/>
      </w:r>
      <w:r>
        <w:rPr>
          <w:rFonts w:hint="default" w:ascii="Times New Roman" w:hAnsi="Times New Roman" w:eastAsia="楷体_GB2312" w:cs="Times New Roman"/>
          <w:sz w:val="22"/>
          <w:szCs w:val="28"/>
          <w:highlight w:val="none"/>
        </w:rPr>
        <w:t>7</w:t>
      </w:r>
      <w:r>
        <w:rPr>
          <w:rFonts w:hint="default" w:ascii="Times New Roman" w:hAnsi="Times New Roman" w:eastAsia="楷体_GB2312" w:cs="Times New Roman"/>
          <w:sz w:val="22"/>
          <w:szCs w:val="28"/>
          <w:highlight w:val="none"/>
        </w:rPr>
        <w:fldChar w:fldCharType="end"/>
      </w:r>
      <w:r>
        <w:rPr>
          <w:rFonts w:hint="default" w:ascii="Times New Roman" w:hAnsi="Times New Roman" w:eastAsia="楷体_GB2312" w:cs="Times New Roman"/>
          <w:sz w:val="22"/>
          <w:szCs w:val="44"/>
          <w:highlight w:val="none"/>
          <w:lang w:eastAsia="zh-CN"/>
        </w:rPr>
        <w:fldChar w:fldCharType="end"/>
      </w:r>
    </w:p>
    <w:p>
      <w:pPr>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eastAsia" w:ascii="Times New Roman" w:hAnsi="Times New Roman" w:eastAsia="仿宋_GB2312" w:cs="Times New Roman"/>
          <w:sz w:val="32"/>
          <w:szCs w:val="32"/>
          <w:highlight w:val="none"/>
          <w:lang w:eastAsia="zh-CN"/>
        </w:rPr>
        <w:sectPr>
          <w:footerReference r:id="rId3" w:type="default"/>
          <w:pgSz w:w="11906" w:h="16838"/>
          <w:pgMar w:top="1440" w:right="1800" w:bottom="1440" w:left="1800" w:header="720" w:footer="720" w:gutter="0"/>
          <w:pgNumType w:start="1"/>
          <w:cols w:space="720" w:num="1"/>
          <w:docGrid w:type="lines" w:linePitch="312" w:charSpace="0"/>
        </w:sectPr>
      </w:pPr>
      <w:r>
        <w:rPr>
          <w:rFonts w:hint="default" w:ascii="Times New Roman" w:hAnsi="Times New Roman" w:eastAsia="仿宋_GB2312" w:cs="Times New Roman"/>
          <w:sz w:val="21"/>
          <w:szCs w:val="40"/>
          <w:highlight w:val="none"/>
          <w:lang w:eastAsia="zh-CN"/>
        </w:rPr>
        <w:fldChar w:fldCharType="end"/>
      </w:r>
    </w:p>
    <w:p>
      <w:pPr>
        <w:pageBreakBefore w:val="0"/>
        <w:widowControl w:val="0"/>
        <w:numPr>
          <w:ilvl w:val="0"/>
          <w:numId w:val="0"/>
        </w:numPr>
        <w:kinsoku/>
        <w:wordWrap/>
        <w:overflowPunct/>
        <w:topLinePunct w:val="0"/>
        <w:autoSpaceDE/>
        <w:autoSpaceDN/>
        <w:bidi w:val="0"/>
        <w:adjustRightInd/>
        <w:spacing w:line="560" w:lineRule="exact"/>
        <w:jc w:val="both"/>
        <w:textAlignment w:val="auto"/>
        <w:rPr>
          <w:rFonts w:hint="eastAsia" w:ascii="Times New Roman" w:hAnsi="Times New Roman" w:eastAsia="仿宋_GB2312" w:cs="Times New Roman"/>
          <w:sz w:val="32"/>
          <w:szCs w:val="32"/>
          <w:highlight w:val="none"/>
          <w:lang w:eastAsia="zh-CN"/>
        </w:rPr>
      </w:pPr>
    </w:p>
    <w:p>
      <w:pPr>
        <w:pageBreakBefore w:val="0"/>
        <w:widowControl w:val="0"/>
        <w:kinsoku/>
        <w:wordWrap/>
        <w:overflowPunct/>
        <w:topLinePunct w:val="0"/>
        <w:autoSpaceDE/>
        <w:autoSpaceDN/>
        <w:bidi w:val="0"/>
        <w:adjustRightInd/>
        <w:spacing w:line="560" w:lineRule="exact"/>
        <w:jc w:val="both"/>
        <w:textAlignment w:val="auto"/>
        <w:rPr>
          <w:rFonts w:hint="eastAsia" w:ascii="Times New Roman" w:hAnsi="Times New Roman" w:eastAsia="仿宋_GB2312" w:cs="Times New Roman"/>
          <w:sz w:val="32"/>
          <w:szCs w:val="32"/>
          <w:highlight w:val="none"/>
          <w:lang w:eastAsia="zh-CN"/>
        </w:rPr>
      </w:pPr>
    </w:p>
    <w:p>
      <w:pPr>
        <w:pageBreakBefore w:val="0"/>
        <w:widowControl w:val="0"/>
        <w:numPr>
          <w:ilvl w:val="0"/>
          <w:numId w:val="0"/>
        </w:numPr>
        <w:kinsoku/>
        <w:wordWrap/>
        <w:overflowPunct/>
        <w:topLinePunct w:val="0"/>
        <w:autoSpaceDE/>
        <w:autoSpaceDN/>
        <w:bidi w:val="0"/>
        <w:adjustRightInd/>
        <w:spacing w:line="560" w:lineRule="exact"/>
        <w:ind w:left="0" w:leftChars="0" w:firstLine="320" w:firstLineChars="100"/>
        <w:jc w:val="center"/>
        <w:textAlignment w:val="auto"/>
        <w:outlineLvl w:val="0"/>
        <w:rPr>
          <w:rFonts w:hint="default" w:ascii="Times New Roman" w:hAnsi="Times New Roman" w:eastAsia="黑体" w:cs="Times New Roman"/>
          <w:b w:val="0"/>
          <w:bCs/>
          <w:kern w:val="44"/>
          <w:sz w:val="32"/>
          <w:szCs w:val="32"/>
          <w:highlight w:val="none"/>
          <w:lang w:eastAsia="zh-CN"/>
        </w:rPr>
      </w:pPr>
      <w:bookmarkStart w:id="6" w:name="_Toc1895438925"/>
      <w:bookmarkStart w:id="7" w:name="_Toc1898610829"/>
      <w:bookmarkStart w:id="8" w:name="_Toc1883337744"/>
      <w:bookmarkStart w:id="9" w:name="_Toc2066109975"/>
      <w:bookmarkStart w:id="10" w:name="_Toc485765112"/>
      <w:r>
        <w:rPr>
          <w:rFonts w:hint="default" w:ascii="Times New Roman" w:hAnsi="Times New Roman" w:eastAsia="黑体" w:cs="Times New Roman"/>
          <w:b w:val="0"/>
          <w:bCs/>
          <w:kern w:val="44"/>
          <w:sz w:val="32"/>
          <w:szCs w:val="32"/>
          <w:highlight w:val="none"/>
          <w:lang w:eastAsia="zh-CN"/>
        </w:rPr>
        <w:t>声明：</w:t>
      </w:r>
      <w:bookmarkEnd w:id="6"/>
      <w:bookmarkEnd w:id="7"/>
      <w:bookmarkEnd w:id="8"/>
      <w:bookmarkEnd w:id="9"/>
      <w:bookmarkEnd w:id="10"/>
    </w:p>
    <w:p>
      <w:pPr>
        <w:pageBreakBefore w:val="0"/>
        <w:widowControl w:val="0"/>
        <w:numPr>
          <w:ilvl w:val="0"/>
          <w:numId w:val="0"/>
        </w:numPr>
        <w:kinsoku/>
        <w:wordWrap/>
        <w:overflowPunct/>
        <w:topLinePunct w:val="0"/>
        <w:autoSpaceDE/>
        <w:autoSpaceDN/>
        <w:bidi w:val="0"/>
        <w:adjustRightInd/>
        <w:spacing w:line="560" w:lineRule="exact"/>
        <w:ind w:left="0" w:leftChars="0" w:firstLine="321" w:firstLineChars="100"/>
        <w:jc w:val="center"/>
        <w:textAlignment w:val="auto"/>
        <w:rPr>
          <w:rFonts w:hint="eastAsia" w:ascii="Times New Roman" w:hAnsi="Times New Roman" w:eastAsia="仿宋_GB2312" w:cs="Times New Roman"/>
          <w:b/>
          <w:bCs/>
          <w:sz w:val="32"/>
          <w:szCs w:val="32"/>
          <w:highlight w:val="none"/>
          <w:lang w:eastAsia="zh-CN"/>
        </w:rPr>
      </w:pPr>
    </w:p>
    <w:p>
      <w:pPr>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为帮助会员建立健全国债期权仿真交易制度与流程，防范行权业务风险，中国金融期货交易所（以下简称中金所或交易所）根据《中国金融期货交易所国债期权仿真交易业务规则》制定本指南，供会员和客户开展期权仿真交易行权（履约）业务参考。中金所将根据市场发展和国债期权仿真交易规则的变化对本指南进行更新和调整。本指南不作为处理相关纠纷的依据。</w:t>
      </w:r>
    </w:p>
    <w:p>
      <w:pPr>
        <w:pStyle w:val="2"/>
        <w:keepNext/>
        <w:keepLines/>
        <w:pageBreakBefore w:val="0"/>
        <w:widowControl w:val="0"/>
        <w:numPr>
          <w:ilvl w:val="-1"/>
          <w:numId w:val="0"/>
        </w:numPr>
        <w:kinsoku/>
        <w:wordWrap/>
        <w:overflowPunct/>
        <w:topLinePunct w:val="0"/>
        <w:autoSpaceDE/>
        <w:autoSpaceDN/>
        <w:bidi w:val="0"/>
        <w:adjustRightInd/>
        <w:snapToGrid/>
        <w:spacing w:before="0" w:beforeLines="0" w:after="0" w:afterLines="0" w:line="560" w:lineRule="exact"/>
        <w:ind w:left="420" w:leftChars="200" w:firstLine="0" w:firstLineChars="0"/>
        <w:textAlignment w:val="auto"/>
        <w:outlineLvl w:val="9"/>
        <w:rPr>
          <w:rFonts w:hint="default" w:ascii="Times New Roman" w:hAnsi="Times New Roman" w:eastAsia="黑体" w:cs="Times New Roman"/>
          <w:b w:val="0"/>
          <w:bCs/>
          <w:sz w:val="32"/>
          <w:szCs w:val="32"/>
          <w:highlight w:val="none"/>
          <w:lang w:eastAsia="zh-CN"/>
        </w:rPr>
      </w:pPr>
    </w:p>
    <w:p>
      <w:pPr>
        <w:pStyle w:val="2"/>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rPr>
          <w:rFonts w:hint="default" w:ascii="Times New Roman" w:hAnsi="Times New Roman" w:eastAsia="黑体" w:cs="Times New Roman"/>
          <w:b w:val="0"/>
          <w:bCs/>
          <w:sz w:val="32"/>
          <w:szCs w:val="32"/>
          <w:highlight w:val="none"/>
          <w:lang w:eastAsia="zh-CN"/>
        </w:rPr>
      </w:pPr>
      <w:r>
        <w:rPr>
          <w:rFonts w:hint="default" w:ascii="Times New Roman" w:hAnsi="Times New Roman" w:eastAsia="黑体" w:cs="Times New Roman"/>
          <w:b w:val="0"/>
          <w:bCs/>
          <w:sz w:val="32"/>
          <w:szCs w:val="32"/>
          <w:highlight w:val="none"/>
          <w:lang w:eastAsia="zh-CN"/>
        </w:rPr>
        <w:br w:type="page"/>
      </w:r>
      <w:bookmarkStart w:id="11" w:name="_Toc48454731"/>
      <w:bookmarkStart w:id="12" w:name="_Toc1037632408"/>
      <w:bookmarkStart w:id="13" w:name="_Toc538510668"/>
      <w:bookmarkStart w:id="14" w:name="_Toc1461872329"/>
      <w:bookmarkStart w:id="15" w:name="_Toc1410891112"/>
      <w:bookmarkStart w:id="16" w:name="_Toc1323136881"/>
      <w:bookmarkStart w:id="17" w:name="_Toc1838239435"/>
      <w:bookmarkStart w:id="18" w:name="_Toc1976138167"/>
      <w:bookmarkStart w:id="19" w:name="_Toc496249516"/>
      <w:bookmarkStart w:id="20" w:name="_Toc1544790478"/>
      <w:r>
        <w:rPr>
          <w:rFonts w:hint="default" w:ascii="Times New Roman" w:hAnsi="Times New Roman" w:eastAsia="黑体" w:cs="Times New Roman"/>
          <w:b w:val="0"/>
          <w:bCs/>
          <w:sz w:val="32"/>
          <w:szCs w:val="32"/>
          <w:highlight w:val="none"/>
          <w:lang w:eastAsia="zh-CN"/>
        </w:rPr>
        <w:t>交易所行权</w:t>
      </w:r>
      <w:r>
        <w:rPr>
          <w:rFonts w:hint="eastAsia" w:ascii="Times New Roman" w:hAnsi="Times New Roman" w:eastAsia="黑体" w:cs="Times New Roman"/>
          <w:b w:val="0"/>
          <w:bCs/>
          <w:sz w:val="32"/>
          <w:szCs w:val="32"/>
          <w:highlight w:val="none"/>
          <w:lang w:eastAsia="zh-CN"/>
        </w:rPr>
        <w:t>（</w:t>
      </w:r>
      <w:r>
        <w:rPr>
          <w:rFonts w:hint="default" w:ascii="Times New Roman" w:hAnsi="Times New Roman" w:eastAsia="黑体" w:cs="Times New Roman"/>
          <w:b w:val="0"/>
          <w:bCs/>
          <w:sz w:val="32"/>
          <w:szCs w:val="32"/>
          <w:highlight w:val="none"/>
          <w:lang w:eastAsia="zh-CN"/>
        </w:rPr>
        <w:t>履约</w:t>
      </w:r>
      <w:r>
        <w:rPr>
          <w:rFonts w:hint="eastAsia" w:ascii="Times New Roman" w:hAnsi="Times New Roman" w:eastAsia="黑体" w:cs="Times New Roman"/>
          <w:b w:val="0"/>
          <w:bCs/>
          <w:sz w:val="32"/>
          <w:szCs w:val="32"/>
          <w:highlight w:val="none"/>
          <w:lang w:eastAsia="zh-CN"/>
        </w:rPr>
        <w:t>）</w:t>
      </w:r>
      <w:r>
        <w:rPr>
          <w:rFonts w:hint="default" w:ascii="Times New Roman" w:hAnsi="Times New Roman" w:eastAsia="黑体" w:cs="Times New Roman"/>
          <w:b w:val="0"/>
          <w:bCs/>
          <w:sz w:val="32"/>
          <w:szCs w:val="32"/>
          <w:highlight w:val="none"/>
          <w:lang w:eastAsia="zh-CN"/>
        </w:rPr>
        <w:t>处理</w:t>
      </w:r>
      <w:bookmarkEnd w:id="11"/>
      <w:bookmarkEnd w:id="12"/>
      <w:bookmarkEnd w:id="13"/>
      <w:bookmarkEnd w:id="14"/>
      <w:bookmarkEnd w:id="15"/>
      <w:bookmarkEnd w:id="16"/>
      <w:bookmarkEnd w:id="17"/>
      <w:bookmarkEnd w:id="18"/>
      <w:bookmarkEnd w:id="19"/>
      <w:bookmarkEnd w:id="20"/>
    </w:p>
    <w:p>
      <w:pPr>
        <w:pStyle w:val="3"/>
        <w:numPr>
          <w:ilvl w:val="0"/>
          <w:numId w:val="2"/>
        </w:numPr>
        <w:bidi w:val="0"/>
        <w:ind w:left="0" w:leftChars="0" w:firstLine="640" w:firstLineChars="200"/>
        <w:rPr>
          <w:rFonts w:hint="default" w:ascii="Times New Roman" w:hAnsi="Times New Roman"/>
          <w:b w:val="0"/>
          <w:bCs w:val="0"/>
          <w:highlight w:val="none"/>
          <w:lang w:eastAsia="zh-CN"/>
        </w:rPr>
      </w:pPr>
      <w:bookmarkStart w:id="21" w:name="_Toc476400885"/>
      <w:bookmarkStart w:id="22" w:name="_Toc514155506"/>
      <w:bookmarkStart w:id="23" w:name="_Toc1021598779"/>
      <w:bookmarkStart w:id="24" w:name="_Toc66720200"/>
      <w:bookmarkStart w:id="25" w:name="_Toc1008993243"/>
      <w:bookmarkStart w:id="26" w:name="_Toc1451392123"/>
      <w:bookmarkStart w:id="27" w:name="_Toc1229703077"/>
      <w:bookmarkStart w:id="28" w:name="_Toc1571142498"/>
      <w:bookmarkStart w:id="29" w:name="_Toc1679976124"/>
      <w:bookmarkStart w:id="30" w:name="_Toc156101403"/>
      <w:r>
        <w:rPr>
          <w:rFonts w:hint="default" w:ascii="Times New Roman" w:hAnsi="Times New Roman"/>
          <w:b w:val="0"/>
          <w:bCs w:val="0"/>
          <w:highlight w:val="none"/>
          <w:lang w:eastAsia="zh-CN"/>
        </w:rPr>
        <w:t>期权类型</w:t>
      </w:r>
      <w:bookmarkEnd w:id="21"/>
      <w:bookmarkEnd w:id="22"/>
      <w:bookmarkEnd w:id="23"/>
      <w:bookmarkEnd w:id="24"/>
      <w:bookmarkEnd w:id="25"/>
      <w:bookmarkEnd w:id="26"/>
      <w:bookmarkEnd w:id="27"/>
      <w:bookmarkEnd w:id="28"/>
      <w:bookmarkEnd w:id="29"/>
      <w:bookmarkEnd w:id="30"/>
    </w:p>
    <w:p>
      <w:pPr>
        <w:numPr>
          <w:ilvl w:val="0"/>
          <w:numId w:val="0"/>
        </w:numPr>
        <w:bidi w:val="0"/>
        <w:spacing w:line="560" w:lineRule="exact"/>
        <w:ind w:left="0" w:leftChars="0" w:firstLine="640" w:firstLineChars="200"/>
        <w:rPr>
          <w:rFonts w:hint="default" w:ascii="Times New Roman" w:hAnsi="Times New Roman" w:eastAsia="仿宋_GB2312"/>
          <w:bCs/>
          <w:kern w:val="0"/>
          <w:sz w:val="32"/>
          <w:szCs w:val="32"/>
          <w:highlight w:val="none"/>
          <w:lang w:val="en" w:eastAsia="zh-CN"/>
        </w:rPr>
      </w:pPr>
      <w:bookmarkStart w:id="31" w:name="_Toc100884859"/>
      <w:r>
        <w:rPr>
          <w:rFonts w:hint="default" w:ascii="Times New Roman" w:hAnsi="Times New Roman" w:eastAsia="仿宋_GB2312" w:cs="Times New Roman"/>
          <w:bCs/>
          <w:kern w:val="0"/>
          <w:sz w:val="32"/>
          <w:szCs w:val="32"/>
          <w:highlight w:val="none"/>
          <w:lang w:val="en" w:eastAsia="zh-CN"/>
        </w:rPr>
        <w:t>国债期权仿真合约为美式期权</w:t>
      </w:r>
      <w:r>
        <w:rPr>
          <w:rFonts w:hint="eastAsia" w:ascii="Times New Roman" w:hAnsi="Times New Roman" w:eastAsia="仿宋_GB2312" w:cs="Times New Roman"/>
          <w:bCs/>
          <w:kern w:val="0"/>
          <w:sz w:val="32"/>
          <w:szCs w:val="32"/>
          <w:highlight w:val="none"/>
          <w:lang w:val="en" w:eastAsia="zh-CN"/>
        </w:rPr>
        <w:t>。在非到期日，</w:t>
      </w:r>
      <w:r>
        <w:rPr>
          <w:rFonts w:hint="default" w:ascii="Times New Roman" w:hAnsi="Times New Roman" w:eastAsia="仿宋_GB2312" w:cs="Times New Roman"/>
          <w:bCs/>
          <w:kern w:val="0"/>
          <w:sz w:val="32"/>
          <w:szCs w:val="32"/>
          <w:highlight w:val="none"/>
          <w:lang w:val="en" w:eastAsia="zh-CN"/>
        </w:rPr>
        <w:t>买方可</w:t>
      </w:r>
      <w:r>
        <w:rPr>
          <w:rFonts w:hint="eastAsia" w:ascii="Times New Roman" w:hAnsi="Times New Roman" w:eastAsia="仿宋_GB2312" w:cs="Times New Roman"/>
          <w:bCs/>
          <w:kern w:val="0"/>
          <w:sz w:val="32"/>
          <w:szCs w:val="32"/>
          <w:highlight w:val="none"/>
          <w:lang w:val="en" w:eastAsia="zh-CN"/>
        </w:rPr>
        <w:t>以提交行权</w:t>
      </w:r>
      <w:r>
        <w:rPr>
          <w:rFonts w:hint="default" w:ascii="Times New Roman" w:hAnsi="Times New Roman" w:eastAsia="仿宋_GB2312" w:cs="Times New Roman"/>
          <w:bCs/>
          <w:kern w:val="0"/>
          <w:sz w:val="32"/>
          <w:szCs w:val="32"/>
          <w:highlight w:val="none"/>
          <w:lang w:val="en" w:eastAsia="zh-CN"/>
        </w:rPr>
        <w:t>申请。在到期日，买方可以提交行权</w:t>
      </w:r>
      <w:r>
        <w:rPr>
          <w:rFonts w:hint="eastAsia" w:ascii="Times New Roman" w:hAnsi="Times New Roman" w:eastAsia="仿宋_GB2312" w:cs="Times New Roman"/>
          <w:bCs/>
          <w:kern w:val="0"/>
          <w:sz w:val="32"/>
          <w:szCs w:val="32"/>
          <w:highlight w:val="none"/>
          <w:lang w:val="en" w:eastAsia="zh-CN"/>
        </w:rPr>
        <w:t>申请、</w:t>
      </w:r>
      <w:r>
        <w:rPr>
          <w:rFonts w:hint="default" w:ascii="Times New Roman" w:hAnsi="Times New Roman" w:eastAsia="仿宋_GB2312" w:cs="Times New Roman"/>
          <w:bCs/>
          <w:kern w:val="0"/>
          <w:sz w:val="32"/>
          <w:szCs w:val="32"/>
          <w:highlight w:val="none"/>
          <w:lang w:val="en" w:eastAsia="zh-CN"/>
        </w:rPr>
        <w:t>放弃</w:t>
      </w:r>
      <w:r>
        <w:rPr>
          <w:rFonts w:hint="eastAsia" w:ascii="Times New Roman" w:hAnsi="Times New Roman" w:eastAsia="仿宋_GB2312" w:cs="Times New Roman"/>
          <w:bCs/>
          <w:kern w:val="0"/>
          <w:sz w:val="32"/>
          <w:szCs w:val="32"/>
          <w:highlight w:val="none"/>
          <w:lang w:val="en" w:eastAsia="zh-CN"/>
        </w:rPr>
        <w:t>行权</w:t>
      </w:r>
      <w:r>
        <w:rPr>
          <w:rFonts w:hint="default" w:ascii="Times New Roman" w:hAnsi="Times New Roman" w:eastAsia="仿宋_GB2312" w:cs="Times New Roman"/>
          <w:bCs/>
          <w:kern w:val="0"/>
          <w:sz w:val="32"/>
          <w:szCs w:val="32"/>
          <w:highlight w:val="none"/>
          <w:lang w:val="en" w:eastAsia="zh-CN"/>
        </w:rPr>
        <w:t>申请。</w:t>
      </w:r>
      <w:bookmarkEnd w:id="31"/>
    </w:p>
    <w:p>
      <w:pPr>
        <w:pStyle w:val="3"/>
        <w:numPr>
          <w:ilvl w:val="0"/>
          <w:numId w:val="2"/>
        </w:numPr>
        <w:bidi w:val="0"/>
        <w:ind w:left="0" w:leftChars="0" w:firstLine="640" w:firstLineChars="200"/>
        <w:rPr>
          <w:rFonts w:hint="default" w:ascii="Times New Roman" w:hAnsi="Times New Roman"/>
          <w:highlight w:val="none"/>
          <w:lang w:eastAsia="zh-CN"/>
        </w:rPr>
      </w:pPr>
      <w:bookmarkStart w:id="32" w:name="_Toc1501132068"/>
      <w:bookmarkStart w:id="33" w:name="_Toc2108869532"/>
      <w:bookmarkStart w:id="34" w:name="_Toc1986897180"/>
      <w:bookmarkStart w:id="35" w:name="_Toc1008053724"/>
      <w:bookmarkStart w:id="36" w:name="_Toc1096512703"/>
      <w:bookmarkStart w:id="37" w:name="_Toc867692644"/>
      <w:bookmarkStart w:id="38" w:name="_Toc1324744584"/>
      <w:bookmarkStart w:id="39" w:name="_Toc1074814869"/>
      <w:bookmarkStart w:id="40" w:name="_Toc1979307049"/>
      <w:bookmarkStart w:id="41" w:name="_Toc10533527"/>
      <w:r>
        <w:rPr>
          <w:rFonts w:hint="default" w:ascii="Times New Roman" w:hAnsi="Times New Roman"/>
          <w:highlight w:val="none"/>
          <w:lang w:eastAsia="zh-CN"/>
        </w:rPr>
        <w:t>行权申请</w:t>
      </w:r>
      <w:bookmarkEnd w:id="32"/>
      <w:bookmarkEnd w:id="33"/>
      <w:bookmarkEnd w:id="34"/>
      <w:bookmarkEnd w:id="35"/>
      <w:bookmarkEnd w:id="36"/>
      <w:bookmarkEnd w:id="37"/>
      <w:bookmarkEnd w:id="38"/>
      <w:bookmarkEnd w:id="39"/>
      <w:bookmarkEnd w:id="40"/>
      <w:bookmarkEnd w:id="4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bCs/>
          <w:color w:val="auto"/>
          <w:kern w:val="0"/>
          <w:sz w:val="32"/>
          <w:szCs w:val="32"/>
          <w:highlight w:val="none"/>
          <w:lang w:val="en" w:eastAsia="zh-CN"/>
        </w:rPr>
      </w:pPr>
      <w:r>
        <w:rPr>
          <w:rFonts w:ascii="Times New Roman" w:hAnsi="Times New Roman" w:eastAsia="仿宋_GB2312"/>
          <w:bCs/>
          <w:color w:val="auto"/>
          <w:kern w:val="0"/>
          <w:sz w:val="32"/>
          <w:szCs w:val="32"/>
          <w:highlight w:val="none"/>
        </w:rPr>
        <w:t>买方可在非到期日</w:t>
      </w:r>
      <w:r>
        <w:rPr>
          <w:rFonts w:hint="eastAsia" w:ascii="Times New Roman" w:hAnsi="Times New Roman" w:eastAsia="仿宋_GB2312"/>
          <w:color w:val="auto"/>
          <w:kern w:val="0"/>
          <w:sz w:val="32"/>
          <w:szCs w:val="32"/>
          <w:highlight w:val="none"/>
          <w:lang w:val="en" w:eastAsia="zh-CN"/>
        </w:rPr>
        <w:t>交易时间通过指令或会员经参与人平台</w:t>
      </w:r>
      <w:r>
        <w:rPr>
          <w:rFonts w:hint="eastAsia" w:ascii="Times New Roman" w:hAnsi="Times New Roman" w:eastAsia="仿宋_GB2312"/>
          <w:bCs/>
          <w:color w:val="auto"/>
          <w:kern w:val="0"/>
          <w:sz w:val="32"/>
          <w:szCs w:val="32"/>
          <w:highlight w:val="none"/>
          <w:lang w:val="en"/>
        </w:rPr>
        <w:t>提交行权申请</w:t>
      </w:r>
      <w:r>
        <w:rPr>
          <w:rFonts w:hint="eastAsia" w:ascii="Times New Roman" w:hAnsi="Times New Roman" w:eastAsia="仿宋_GB2312"/>
          <w:bCs/>
          <w:color w:val="auto"/>
          <w:kern w:val="0"/>
          <w:sz w:val="32"/>
          <w:szCs w:val="32"/>
          <w:highlight w:val="none"/>
          <w:lang w:val="en" w:eastAsia="zh-CN"/>
        </w:rPr>
        <w:t>。买方可</w:t>
      </w:r>
      <w:r>
        <w:rPr>
          <w:rFonts w:hint="eastAsia" w:ascii="Times New Roman" w:hAnsi="Times New Roman" w:eastAsia="仿宋_GB2312"/>
          <w:bCs/>
          <w:color w:val="auto"/>
          <w:kern w:val="0"/>
          <w:sz w:val="32"/>
          <w:szCs w:val="32"/>
          <w:highlight w:val="none"/>
          <w:lang w:val="en"/>
        </w:rPr>
        <w:t>在</w:t>
      </w:r>
      <w:r>
        <w:rPr>
          <w:rFonts w:ascii="Times New Roman" w:hAnsi="Times New Roman" w:eastAsia="仿宋_GB2312"/>
          <w:bCs/>
          <w:color w:val="auto"/>
          <w:kern w:val="0"/>
          <w:sz w:val="32"/>
          <w:szCs w:val="32"/>
          <w:highlight w:val="none"/>
        </w:rPr>
        <w:t>到期</w:t>
      </w:r>
      <w:r>
        <w:rPr>
          <w:rFonts w:hint="eastAsia" w:ascii="Times New Roman" w:hAnsi="Times New Roman" w:eastAsia="仿宋_GB2312"/>
          <w:bCs/>
          <w:color w:val="auto"/>
          <w:kern w:val="0"/>
          <w:sz w:val="32"/>
          <w:szCs w:val="32"/>
          <w:highlight w:val="none"/>
        </w:rPr>
        <w:t>日</w:t>
      </w:r>
      <w:r>
        <w:rPr>
          <w:rFonts w:hint="eastAsia" w:ascii="Times New Roman" w:hAnsi="Times New Roman" w:eastAsia="仿宋_GB2312"/>
          <w:bCs/>
          <w:color w:val="auto"/>
          <w:kern w:val="0"/>
          <w:sz w:val="32"/>
          <w:szCs w:val="32"/>
          <w:highlight w:val="none"/>
          <w:lang w:eastAsia="zh-CN"/>
        </w:rPr>
        <w:t>交易时间以及收市后</w:t>
      </w:r>
      <w:r>
        <w:rPr>
          <w:rFonts w:ascii="Times New Roman" w:hAnsi="Times New Roman" w:eastAsia="仿宋_GB2312"/>
          <w:bCs/>
          <w:color w:val="auto"/>
          <w:kern w:val="0"/>
          <w:sz w:val="32"/>
          <w:szCs w:val="32"/>
          <w:highlight w:val="none"/>
          <w:lang w:val="en"/>
        </w:rPr>
        <w:t>15</w:t>
      </w:r>
      <w:r>
        <w:rPr>
          <w:rFonts w:hint="eastAsia" w:ascii="Times New Roman" w:hAnsi="Times New Roman" w:eastAsia="仿宋_GB2312"/>
          <w:bCs/>
          <w:color w:val="auto"/>
          <w:kern w:val="0"/>
          <w:sz w:val="32"/>
          <w:szCs w:val="32"/>
          <w:highlight w:val="none"/>
          <w:lang w:val="en" w:eastAsia="zh-CN"/>
        </w:rPr>
        <w:t>分钟内，</w:t>
      </w:r>
      <w:r>
        <w:rPr>
          <w:rFonts w:hint="eastAsia" w:ascii="Times New Roman" w:hAnsi="Times New Roman" w:eastAsia="仿宋_GB2312"/>
          <w:color w:val="auto"/>
          <w:kern w:val="0"/>
          <w:sz w:val="32"/>
          <w:szCs w:val="32"/>
          <w:highlight w:val="none"/>
          <w:lang w:val="en" w:eastAsia="zh-CN"/>
        </w:rPr>
        <w:t>通过指令或会员经参与人平台</w:t>
      </w:r>
      <w:r>
        <w:rPr>
          <w:rFonts w:ascii="Times New Roman" w:hAnsi="Times New Roman" w:eastAsia="仿宋_GB2312"/>
          <w:bCs/>
          <w:color w:val="auto"/>
          <w:kern w:val="0"/>
          <w:sz w:val="32"/>
          <w:szCs w:val="32"/>
          <w:highlight w:val="none"/>
          <w:lang w:val="en"/>
        </w:rPr>
        <w:t>提</w:t>
      </w:r>
      <w:r>
        <w:rPr>
          <w:rFonts w:hint="eastAsia" w:ascii="Times New Roman" w:hAnsi="Times New Roman" w:eastAsia="仿宋_GB2312"/>
          <w:bCs/>
          <w:color w:val="auto"/>
          <w:kern w:val="0"/>
          <w:sz w:val="32"/>
          <w:szCs w:val="32"/>
          <w:highlight w:val="none"/>
          <w:lang w:val="en"/>
        </w:rPr>
        <w:t>交</w:t>
      </w:r>
      <w:r>
        <w:rPr>
          <w:rFonts w:hint="eastAsia" w:ascii="Times New Roman" w:hAnsi="Times New Roman" w:eastAsia="仿宋_GB2312"/>
          <w:bCs/>
          <w:color w:val="auto"/>
          <w:kern w:val="0"/>
          <w:sz w:val="32"/>
          <w:szCs w:val="32"/>
          <w:highlight w:val="none"/>
          <w:lang w:val="en" w:eastAsia="zh-CN"/>
        </w:rPr>
        <w:t>行权申请、放弃行权申请。</w:t>
      </w:r>
    </w:p>
    <w:p>
      <w:pPr>
        <w:pStyle w:val="3"/>
        <w:keepNext/>
        <w:keepLines/>
        <w:pageBreakBefore w:val="0"/>
        <w:widowControl w:val="0"/>
        <w:numPr>
          <w:ilvl w:val="0"/>
          <w:numId w:val="2"/>
        </w:numPr>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rPr>
          <w:rFonts w:hint="default" w:ascii="Times New Roman" w:hAnsi="Times New Roman" w:eastAsia="楷体" w:cs="Times New Roman"/>
          <w:b w:val="0"/>
          <w:bCs w:val="0"/>
          <w:sz w:val="32"/>
          <w:szCs w:val="24"/>
          <w:highlight w:val="none"/>
          <w:lang w:eastAsia="zh-CN"/>
        </w:rPr>
      </w:pPr>
      <w:bookmarkStart w:id="42" w:name="_Toc790643151"/>
      <w:bookmarkStart w:id="43" w:name="_Toc1561842328"/>
      <w:bookmarkStart w:id="44" w:name="_Toc1453660271"/>
      <w:bookmarkStart w:id="45" w:name="_Toc181184972"/>
      <w:bookmarkStart w:id="46" w:name="_Toc976729952"/>
      <w:bookmarkStart w:id="47" w:name="_Toc1285974164"/>
      <w:bookmarkStart w:id="48" w:name="_Toc698881446"/>
      <w:bookmarkStart w:id="49" w:name="_Toc1527023070"/>
      <w:bookmarkStart w:id="50" w:name="_Toc694612071"/>
      <w:bookmarkStart w:id="51" w:name="_Toc237533157"/>
      <w:r>
        <w:rPr>
          <w:rFonts w:hint="default" w:ascii="Times New Roman" w:hAnsi="Times New Roman" w:eastAsia="楷体" w:cs="Times New Roman"/>
          <w:b w:val="0"/>
          <w:bCs w:val="0"/>
          <w:sz w:val="32"/>
          <w:szCs w:val="24"/>
          <w:highlight w:val="none"/>
          <w:lang w:eastAsia="zh-CN"/>
        </w:rPr>
        <w:t>行权</w:t>
      </w:r>
      <w:r>
        <w:rPr>
          <w:rFonts w:hint="default" w:ascii="Times New Roman" w:hAnsi="Times New Roman" w:cs="Times New Roman"/>
          <w:b w:val="0"/>
          <w:bCs w:val="0"/>
          <w:sz w:val="32"/>
          <w:szCs w:val="24"/>
          <w:highlight w:val="none"/>
          <w:lang w:eastAsia="zh-CN"/>
        </w:rPr>
        <w:t>检查</w:t>
      </w:r>
      <w:bookmarkEnd w:id="42"/>
      <w:bookmarkEnd w:id="43"/>
      <w:bookmarkEnd w:id="44"/>
      <w:bookmarkEnd w:id="45"/>
      <w:bookmarkEnd w:id="46"/>
      <w:bookmarkEnd w:id="47"/>
      <w:bookmarkEnd w:id="48"/>
      <w:bookmarkEnd w:id="49"/>
      <w:bookmarkEnd w:id="50"/>
      <w:bookmarkEnd w:id="5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sz w:val="32"/>
          <w:szCs w:val="32"/>
          <w:highlight w:val="none"/>
          <w:lang w:val="en" w:eastAsia="zh-CN"/>
        </w:rPr>
      </w:pPr>
      <w:r>
        <w:rPr>
          <w:rFonts w:hint="eastAsia" w:ascii="Times New Roman" w:hAnsi="Times New Roman" w:eastAsia="仿宋_GB2312" w:cs="Times New Roman"/>
          <w:i w:val="0"/>
          <w:iCs w:val="0"/>
          <w:sz w:val="32"/>
          <w:szCs w:val="32"/>
          <w:highlight w:val="none"/>
          <w:lang w:val="en" w:eastAsia="zh-CN"/>
        </w:rPr>
        <w:t>交易所对提交的行权申请，</w:t>
      </w:r>
      <w:r>
        <w:rPr>
          <w:rFonts w:hint="default" w:ascii="Times New Roman" w:hAnsi="Times New Roman" w:eastAsia="仿宋_GB2312" w:cs="Times New Roman"/>
          <w:i w:val="0"/>
          <w:iCs w:val="0"/>
          <w:sz w:val="32"/>
          <w:szCs w:val="32"/>
          <w:highlight w:val="none"/>
          <w:lang w:eastAsia="zh-CN"/>
        </w:rPr>
        <w:t>不进行资金</w:t>
      </w:r>
      <w:r>
        <w:rPr>
          <w:rFonts w:hint="eastAsia" w:ascii="Times New Roman" w:hAnsi="Times New Roman" w:eastAsia="仿宋_GB2312" w:cs="Times New Roman"/>
          <w:i w:val="0"/>
          <w:iCs w:val="0"/>
          <w:sz w:val="32"/>
          <w:szCs w:val="32"/>
          <w:highlight w:val="none"/>
          <w:lang w:eastAsia="zh-CN"/>
        </w:rPr>
        <w:t>、期货限仓的</w:t>
      </w:r>
      <w:r>
        <w:rPr>
          <w:rFonts w:hint="default" w:ascii="Times New Roman" w:hAnsi="Times New Roman" w:eastAsia="仿宋_GB2312" w:cs="Times New Roman"/>
          <w:i w:val="0"/>
          <w:iCs w:val="0"/>
          <w:sz w:val="32"/>
          <w:szCs w:val="32"/>
          <w:highlight w:val="none"/>
          <w:lang w:eastAsia="zh-CN"/>
        </w:rPr>
        <w:t>前端检查</w:t>
      </w:r>
      <w:r>
        <w:rPr>
          <w:rFonts w:hint="eastAsia" w:ascii="Times New Roman" w:hAnsi="Times New Roman" w:eastAsia="仿宋_GB2312" w:cs="Times New Roman"/>
          <w:i w:val="0"/>
          <w:iCs w:val="0"/>
          <w:sz w:val="32"/>
          <w:szCs w:val="32"/>
          <w:highlight w:val="none"/>
          <w:lang w:eastAsia="zh-CN"/>
        </w:rPr>
        <w:t>。交易所对提交的行权和放弃行权申请，</w:t>
      </w:r>
      <w:r>
        <w:rPr>
          <w:rFonts w:hint="default" w:ascii="Times New Roman" w:hAnsi="Times New Roman" w:eastAsia="仿宋_GB2312" w:cs="Times New Roman"/>
          <w:i w:val="0"/>
          <w:iCs w:val="0"/>
          <w:color w:val="auto"/>
          <w:sz w:val="32"/>
          <w:szCs w:val="32"/>
          <w:highlight w:val="none"/>
          <w:lang w:val="en-US" w:eastAsia="zh-CN"/>
        </w:rPr>
        <w:t>不检查</w:t>
      </w:r>
      <w:r>
        <w:rPr>
          <w:rFonts w:hint="eastAsia" w:ascii="Times New Roman" w:hAnsi="Times New Roman" w:eastAsia="仿宋_GB2312" w:cs="Times New Roman"/>
          <w:i w:val="0"/>
          <w:iCs w:val="0"/>
          <w:color w:val="auto"/>
          <w:sz w:val="32"/>
          <w:szCs w:val="32"/>
          <w:highlight w:val="none"/>
          <w:lang w:val="en-US" w:eastAsia="zh-CN"/>
        </w:rPr>
        <w:t>也</w:t>
      </w:r>
      <w:r>
        <w:rPr>
          <w:rFonts w:hint="default" w:ascii="Times New Roman" w:hAnsi="Times New Roman" w:eastAsia="仿宋_GB2312" w:cs="Times New Roman"/>
          <w:i w:val="0"/>
          <w:iCs w:val="0"/>
          <w:color w:val="auto"/>
          <w:sz w:val="32"/>
          <w:szCs w:val="32"/>
          <w:highlight w:val="none"/>
          <w:lang w:val="en-US" w:eastAsia="zh-CN"/>
        </w:rPr>
        <w:t>不冻结相应期权持仓</w:t>
      </w:r>
      <w:r>
        <w:rPr>
          <w:rFonts w:hint="eastAsia" w:ascii="Times New Roman" w:hAnsi="Times New Roman" w:eastAsia="仿宋_GB2312" w:cs="Times New Roman"/>
          <w:i w:val="0"/>
          <w:iCs w:val="0"/>
          <w:sz w:val="32"/>
          <w:szCs w:val="32"/>
          <w:highlight w:val="none"/>
          <w:lang w:val="en" w:eastAsia="zh-CN"/>
        </w:rPr>
        <w:t>。</w:t>
      </w:r>
    </w:p>
    <w:p>
      <w:pPr>
        <w:pStyle w:val="3"/>
        <w:numPr>
          <w:ilvl w:val="0"/>
          <w:numId w:val="2"/>
        </w:numPr>
        <w:bidi w:val="0"/>
        <w:ind w:left="0" w:leftChars="0" w:firstLine="640" w:firstLineChars="200"/>
        <w:rPr>
          <w:rFonts w:hint="default" w:ascii="Times New Roman" w:hAnsi="Times New Roman"/>
          <w:highlight w:val="none"/>
          <w:lang w:eastAsia="zh-CN"/>
        </w:rPr>
      </w:pPr>
      <w:bookmarkStart w:id="52" w:name="_Toc1369116561"/>
      <w:bookmarkStart w:id="53" w:name="_Toc1947511205"/>
      <w:bookmarkStart w:id="54" w:name="_Toc16964782"/>
      <w:bookmarkStart w:id="55" w:name="_Toc887257571"/>
      <w:bookmarkStart w:id="56" w:name="_Toc857237061"/>
      <w:bookmarkStart w:id="57" w:name="_Toc245465255"/>
      <w:bookmarkStart w:id="58" w:name="_Toc971040514"/>
      <w:bookmarkStart w:id="59" w:name="_Toc2065208086"/>
      <w:bookmarkStart w:id="60" w:name="_Toc115174931"/>
      <w:bookmarkStart w:id="61" w:name="_Toc1069223479"/>
      <w:r>
        <w:rPr>
          <w:rFonts w:hint="default" w:ascii="Times New Roman" w:hAnsi="Times New Roman"/>
          <w:highlight w:val="none"/>
          <w:lang w:eastAsia="zh-CN"/>
        </w:rPr>
        <w:t>提交行权最低盈利金额</w:t>
      </w:r>
      <w:bookmarkEnd w:id="52"/>
      <w:bookmarkEnd w:id="53"/>
      <w:bookmarkEnd w:id="54"/>
      <w:bookmarkEnd w:id="55"/>
      <w:bookmarkEnd w:id="56"/>
      <w:bookmarkEnd w:id="57"/>
      <w:bookmarkEnd w:id="58"/>
      <w:bookmarkEnd w:id="59"/>
      <w:bookmarkEnd w:id="60"/>
      <w:bookmarkEnd w:id="6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bCs/>
          <w:color w:val="auto"/>
          <w:kern w:val="0"/>
          <w:sz w:val="32"/>
          <w:szCs w:val="32"/>
          <w:highlight w:val="none"/>
          <w:lang w:val="en-US" w:eastAsia="zh-CN"/>
        </w:rPr>
      </w:pPr>
      <w:r>
        <w:rPr>
          <w:rFonts w:ascii="Times New Roman" w:hAnsi="Times New Roman" w:eastAsia="仿宋_GB2312"/>
          <w:bCs/>
          <w:color w:val="auto"/>
          <w:kern w:val="0"/>
          <w:sz w:val="32"/>
          <w:szCs w:val="32"/>
          <w:highlight w:val="none"/>
        </w:rPr>
        <w:t>买方可</w:t>
      </w:r>
      <w:r>
        <w:rPr>
          <w:rFonts w:hint="eastAsia" w:ascii="Times New Roman" w:hAnsi="Times New Roman" w:eastAsia="仿宋_GB2312"/>
          <w:bCs/>
          <w:color w:val="auto"/>
          <w:kern w:val="0"/>
          <w:sz w:val="32"/>
          <w:szCs w:val="32"/>
          <w:highlight w:val="none"/>
          <w:lang w:eastAsia="zh-CN"/>
        </w:rPr>
        <w:t>在</w:t>
      </w:r>
      <w:r>
        <w:rPr>
          <w:rFonts w:hint="eastAsia" w:ascii="Times New Roman" w:hAnsi="Times New Roman" w:eastAsia="仿宋_GB2312"/>
          <w:bCs/>
          <w:color w:val="auto"/>
          <w:kern w:val="0"/>
          <w:sz w:val="32"/>
          <w:szCs w:val="32"/>
          <w:highlight w:val="none"/>
          <w:lang w:val="en" w:eastAsia="zh-CN"/>
        </w:rPr>
        <w:t>交易时间及收市后</w:t>
      </w:r>
      <w:r>
        <w:rPr>
          <w:rFonts w:hint="eastAsia" w:ascii="Times New Roman" w:hAnsi="Times New Roman" w:eastAsia="仿宋_GB2312"/>
          <w:bCs/>
          <w:color w:val="auto"/>
          <w:kern w:val="0"/>
          <w:sz w:val="32"/>
          <w:szCs w:val="32"/>
          <w:highlight w:val="none"/>
          <w:lang w:val="en-US" w:eastAsia="zh-CN"/>
        </w:rPr>
        <w:t>1</w:t>
      </w:r>
      <w:r>
        <w:rPr>
          <w:rFonts w:hint="default" w:ascii="Times New Roman" w:hAnsi="Times New Roman" w:eastAsia="仿宋_GB2312"/>
          <w:bCs/>
          <w:color w:val="auto"/>
          <w:kern w:val="0"/>
          <w:sz w:val="32"/>
          <w:szCs w:val="32"/>
          <w:highlight w:val="none"/>
          <w:lang w:val="en" w:eastAsia="zh-CN"/>
        </w:rPr>
        <w:t>5</w:t>
      </w:r>
      <w:r>
        <w:rPr>
          <w:rFonts w:hint="eastAsia" w:ascii="Times New Roman" w:hAnsi="Times New Roman" w:eastAsia="仿宋_GB2312"/>
          <w:bCs/>
          <w:color w:val="auto"/>
          <w:kern w:val="0"/>
          <w:sz w:val="32"/>
          <w:szCs w:val="32"/>
          <w:highlight w:val="none"/>
          <w:lang w:val="en" w:eastAsia="zh-CN"/>
        </w:rPr>
        <w:t>分钟内，通过会员经</w:t>
      </w:r>
      <w:r>
        <w:rPr>
          <w:rFonts w:hint="eastAsia" w:ascii="Times New Roman" w:hAnsi="Times New Roman" w:eastAsia="仿宋_GB2312"/>
          <w:bCs/>
          <w:color w:val="auto"/>
          <w:kern w:val="0"/>
          <w:sz w:val="32"/>
          <w:szCs w:val="32"/>
          <w:highlight w:val="none"/>
          <w:lang w:eastAsia="zh-CN"/>
        </w:rPr>
        <w:t>参与人平台提交行权最低盈利金额，一次申请持续有效。未在规定时间内提交行权最低盈利金额的，行权最低盈利金额为</w:t>
      </w:r>
      <w:r>
        <w:rPr>
          <w:rFonts w:hint="eastAsia" w:ascii="Times New Roman" w:hAnsi="Times New Roman" w:eastAsia="仿宋_GB2312"/>
          <w:bCs/>
          <w:color w:val="auto"/>
          <w:kern w:val="0"/>
          <w:sz w:val="32"/>
          <w:szCs w:val="32"/>
          <w:highlight w:val="none"/>
          <w:lang w:val="en-US" w:eastAsia="zh-CN"/>
        </w:rPr>
        <w:t>0。</w:t>
      </w:r>
    </w:p>
    <w:p>
      <w:pPr>
        <w:pStyle w:val="3"/>
        <w:numPr>
          <w:ilvl w:val="0"/>
          <w:numId w:val="2"/>
        </w:numPr>
        <w:bidi w:val="0"/>
        <w:ind w:left="638" w:leftChars="304" w:firstLine="0" w:firstLineChars="0"/>
        <w:outlineLvl w:val="9"/>
        <w:rPr>
          <w:rFonts w:hint="default" w:ascii="Times New Roman" w:hAnsi="Times New Roman"/>
          <w:highlight w:val="none"/>
          <w:lang w:eastAsia="zh-CN"/>
        </w:rPr>
      </w:pPr>
      <w:bookmarkStart w:id="62" w:name="_Toc46518026"/>
      <w:bookmarkStart w:id="63" w:name="_Toc1480794773"/>
      <w:bookmarkStart w:id="64" w:name="_Toc240251910"/>
      <w:bookmarkStart w:id="65" w:name="_Toc1441164553"/>
      <w:bookmarkStart w:id="66" w:name="_Toc157034298"/>
      <w:bookmarkStart w:id="67" w:name="_Toc1801163968"/>
      <w:bookmarkStart w:id="68" w:name="_Toc1640577500"/>
      <w:bookmarkStart w:id="69" w:name="_Toc693443578"/>
      <w:bookmarkStart w:id="70" w:name="_Toc1523228212"/>
      <w:bookmarkStart w:id="71" w:name="_Toc390717523"/>
      <w:r>
        <w:rPr>
          <w:rFonts w:hint="default" w:ascii="Times New Roman" w:hAnsi="Times New Roman"/>
          <w:highlight w:val="none"/>
          <w:lang w:eastAsia="zh-CN"/>
        </w:rPr>
        <w:t>自动行权和放弃</w:t>
      </w:r>
      <w:bookmarkEnd w:id="62"/>
      <w:bookmarkEnd w:id="63"/>
      <w:bookmarkEnd w:id="64"/>
      <w:bookmarkEnd w:id="65"/>
      <w:bookmarkEnd w:id="66"/>
      <w:bookmarkEnd w:id="67"/>
      <w:bookmarkEnd w:id="68"/>
      <w:bookmarkEnd w:id="69"/>
      <w:bookmarkEnd w:id="70"/>
      <w:bookmarkEnd w:id="71"/>
      <w:r>
        <w:rPr>
          <w:rFonts w:hint="eastAsia" w:ascii="Times New Roman" w:hAnsi="Times New Roman"/>
          <w:highlight w:val="none"/>
          <w:lang w:eastAsia="zh-CN"/>
        </w:rPr>
        <w:t>行权</w:t>
      </w:r>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i w:val="0"/>
          <w:iCs w:val="0"/>
          <w:sz w:val="32"/>
          <w:szCs w:val="32"/>
          <w:highlight w:val="none"/>
          <w:lang w:val="en-US" w:eastAsia="zh-CN"/>
        </w:rPr>
        <w:t>到期日结算</w:t>
      </w:r>
      <w:r>
        <w:rPr>
          <w:rFonts w:hint="eastAsia" w:ascii="Times New Roman" w:hAnsi="Times New Roman" w:eastAsia="仿宋_GB2312" w:cs="Times New Roman"/>
          <w:i w:val="0"/>
          <w:iCs w:val="0"/>
          <w:sz w:val="32"/>
          <w:szCs w:val="32"/>
          <w:highlight w:val="none"/>
          <w:lang w:val="en-US" w:eastAsia="zh-CN"/>
        </w:rPr>
        <w:t>时</w:t>
      </w:r>
      <w:r>
        <w:rPr>
          <w:rFonts w:hint="default" w:ascii="Times New Roman" w:hAnsi="Times New Roman" w:eastAsia="仿宋_GB2312" w:cs="Times New Roman"/>
          <w:i w:val="0"/>
          <w:iCs w:val="0"/>
          <w:sz w:val="32"/>
          <w:szCs w:val="32"/>
          <w:highlight w:val="none"/>
          <w:lang w:val="en-US" w:eastAsia="zh-CN"/>
        </w:rPr>
        <w:t>，</w:t>
      </w:r>
      <w:r>
        <w:rPr>
          <w:rFonts w:hint="eastAsia" w:ascii="Times New Roman" w:hAnsi="Times New Roman" w:eastAsia="仿宋_GB2312" w:cs="Times New Roman"/>
          <w:i w:val="0"/>
          <w:iCs w:val="0"/>
          <w:sz w:val="32"/>
          <w:szCs w:val="32"/>
          <w:highlight w:val="none"/>
          <w:lang w:val="en-US" w:eastAsia="zh-CN"/>
        </w:rPr>
        <w:t>交易所</w:t>
      </w:r>
      <w:r>
        <w:rPr>
          <w:rFonts w:hint="default" w:ascii="Times New Roman" w:hAnsi="Times New Roman" w:eastAsia="仿宋_GB2312" w:cs="Times New Roman"/>
          <w:i w:val="0"/>
          <w:iCs w:val="0"/>
          <w:sz w:val="32"/>
          <w:szCs w:val="32"/>
          <w:highlight w:val="none"/>
          <w:lang w:val="en-US" w:eastAsia="zh-CN"/>
        </w:rPr>
        <w:t>对未在规定时间内提交行权或</w:t>
      </w:r>
      <w:r>
        <w:rPr>
          <w:rFonts w:hint="eastAsia" w:ascii="Times New Roman" w:hAnsi="Times New Roman" w:eastAsia="仿宋_GB2312" w:cs="Times New Roman"/>
          <w:i w:val="0"/>
          <w:iCs w:val="0"/>
          <w:sz w:val="32"/>
          <w:szCs w:val="32"/>
          <w:highlight w:val="none"/>
          <w:lang w:val="en-US" w:eastAsia="zh-CN"/>
        </w:rPr>
        <w:t>放弃行权</w:t>
      </w:r>
      <w:r>
        <w:rPr>
          <w:rFonts w:hint="default" w:ascii="Times New Roman" w:hAnsi="Times New Roman" w:eastAsia="仿宋_GB2312" w:cs="Times New Roman"/>
          <w:i w:val="0"/>
          <w:iCs w:val="0"/>
          <w:sz w:val="32"/>
          <w:szCs w:val="32"/>
          <w:highlight w:val="none"/>
          <w:lang w:val="en-US" w:eastAsia="zh-CN"/>
        </w:rPr>
        <w:t>申请</w:t>
      </w:r>
      <w:r>
        <w:rPr>
          <w:rFonts w:hint="eastAsia" w:ascii="Times New Roman" w:hAnsi="Times New Roman" w:eastAsia="仿宋_GB2312" w:cs="Times New Roman"/>
          <w:i w:val="0"/>
          <w:iCs w:val="0"/>
          <w:sz w:val="32"/>
          <w:szCs w:val="32"/>
          <w:highlight w:val="none"/>
          <w:lang w:val="en-US" w:eastAsia="zh-CN"/>
        </w:rPr>
        <w:t>、且</w:t>
      </w:r>
      <w:r>
        <w:rPr>
          <w:rFonts w:hint="default" w:ascii="Times New Roman" w:hAnsi="Times New Roman" w:eastAsia="仿宋_GB2312" w:cs="Times New Roman"/>
          <w:i w:val="0"/>
          <w:iCs w:val="0"/>
          <w:sz w:val="32"/>
          <w:szCs w:val="32"/>
          <w:highlight w:val="none"/>
          <w:lang w:val="en-US" w:eastAsia="zh-CN"/>
        </w:rPr>
        <w:t>实值</w:t>
      </w:r>
      <w:r>
        <w:rPr>
          <w:rFonts w:hint="eastAsia" w:ascii="Times New Roman" w:hAnsi="Times New Roman" w:eastAsia="仿宋_GB2312" w:cs="Times New Roman"/>
          <w:i w:val="0"/>
          <w:iCs w:val="0"/>
          <w:sz w:val="32"/>
          <w:szCs w:val="32"/>
          <w:highlight w:val="none"/>
          <w:lang w:val="en-US" w:eastAsia="zh-CN"/>
        </w:rPr>
        <w:t>额（相对于标的期货合约结算价）大于行权最低盈利金额的期权买持仓</w:t>
      </w:r>
      <w:r>
        <w:rPr>
          <w:rFonts w:hint="default" w:ascii="Times New Roman" w:hAnsi="Times New Roman" w:eastAsia="仿宋_GB2312" w:cs="Times New Roman"/>
          <w:i w:val="0"/>
          <w:iCs w:val="0"/>
          <w:sz w:val="32"/>
          <w:szCs w:val="32"/>
          <w:highlight w:val="none"/>
          <w:lang w:val="en-US" w:eastAsia="zh-CN"/>
        </w:rPr>
        <w:t>做自动行权处理，其他期权</w:t>
      </w:r>
      <w:r>
        <w:rPr>
          <w:rFonts w:hint="eastAsia" w:ascii="Times New Roman" w:hAnsi="Times New Roman" w:eastAsia="仿宋_GB2312" w:cs="Times New Roman"/>
          <w:i w:val="0"/>
          <w:iCs w:val="0"/>
          <w:sz w:val="32"/>
          <w:szCs w:val="32"/>
          <w:highlight w:val="none"/>
          <w:lang w:val="en-US" w:eastAsia="zh-CN"/>
        </w:rPr>
        <w:t>买</w:t>
      </w:r>
      <w:r>
        <w:rPr>
          <w:rFonts w:hint="default" w:ascii="Times New Roman" w:hAnsi="Times New Roman" w:eastAsia="仿宋_GB2312" w:cs="Times New Roman"/>
          <w:i w:val="0"/>
          <w:iCs w:val="0"/>
          <w:sz w:val="32"/>
          <w:szCs w:val="32"/>
          <w:highlight w:val="none"/>
          <w:lang w:val="en-US" w:eastAsia="zh-CN"/>
        </w:rPr>
        <w:t>持仓</w:t>
      </w:r>
      <w:r>
        <w:rPr>
          <w:rFonts w:hint="eastAsia" w:ascii="Times New Roman" w:hAnsi="Times New Roman" w:eastAsia="仿宋_GB2312" w:cs="Times New Roman"/>
          <w:i w:val="0"/>
          <w:iCs w:val="0"/>
          <w:sz w:val="32"/>
          <w:szCs w:val="32"/>
          <w:highlight w:val="none"/>
          <w:lang w:val="en-US" w:eastAsia="zh-CN"/>
        </w:rPr>
        <w:t>视为放弃行权</w:t>
      </w:r>
      <w:r>
        <w:rPr>
          <w:rFonts w:hint="default" w:ascii="Times New Roman" w:hAnsi="Times New Roman" w:eastAsia="仿宋_GB2312" w:cs="Times New Roman"/>
          <w:i w:val="0"/>
          <w:iCs w:val="0"/>
          <w:sz w:val="32"/>
          <w:szCs w:val="32"/>
          <w:highlight w:val="none"/>
          <w:lang w:val="en-US" w:eastAsia="zh-CN"/>
        </w:rPr>
        <w:t>。</w:t>
      </w:r>
    </w:p>
    <w:p>
      <w:pPr>
        <w:pStyle w:val="3"/>
        <w:numPr>
          <w:ilvl w:val="0"/>
          <w:numId w:val="2"/>
        </w:numPr>
        <w:ind w:firstLine="640" w:firstLineChars="200"/>
        <w:outlineLvl w:val="9"/>
        <w:rPr>
          <w:rFonts w:hint="default" w:ascii="Times New Roman" w:hAnsi="Times New Roman"/>
          <w:highlight w:val="none"/>
          <w:lang w:val="en-US" w:eastAsia="zh-CN"/>
        </w:rPr>
      </w:pPr>
      <w:bookmarkStart w:id="72" w:name="_Toc311721460"/>
      <w:bookmarkStart w:id="73" w:name="_Toc1517054937"/>
      <w:bookmarkStart w:id="74" w:name="_Toc801176678"/>
      <w:bookmarkStart w:id="75" w:name="_Toc770894393"/>
      <w:bookmarkStart w:id="76" w:name="_Toc1671467205"/>
      <w:bookmarkStart w:id="77" w:name="_Toc1763410661"/>
      <w:bookmarkStart w:id="78" w:name="_Toc494639628"/>
      <w:bookmarkStart w:id="79" w:name="_Toc1633390956"/>
      <w:bookmarkStart w:id="80" w:name="_Toc1708016967"/>
      <w:bookmarkStart w:id="81" w:name="_Toc1941648089"/>
      <w:r>
        <w:rPr>
          <w:rFonts w:hint="default" w:ascii="Times New Roman" w:hAnsi="Times New Roman"/>
          <w:highlight w:val="none"/>
          <w:lang w:eastAsia="zh-CN"/>
        </w:rPr>
        <w:t>行权配对</w:t>
      </w:r>
      <w:bookmarkEnd w:id="72"/>
      <w:bookmarkEnd w:id="73"/>
      <w:bookmarkEnd w:id="74"/>
      <w:bookmarkEnd w:id="75"/>
      <w:bookmarkEnd w:id="76"/>
      <w:bookmarkEnd w:id="77"/>
      <w:bookmarkEnd w:id="78"/>
      <w:bookmarkEnd w:id="79"/>
      <w:bookmarkEnd w:id="80"/>
      <w:bookmarkEnd w:id="8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highlight w:val="none"/>
          <w:lang w:eastAsia="zh-CN"/>
        </w:rPr>
      </w:pPr>
      <w:r>
        <w:rPr>
          <w:rFonts w:hint="default" w:ascii="Times New Roman" w:hAnsi="Times New Roman" w:eastAsia="仿宋_GB2312" w:cs="Times New Roman"/>
          <w:i w:val="0"/>
          <w:iCs w:val="0"/>
          <w:color w:val="auto"/>
          <w:sz w:val="32"/>
          <w:szCs w:val="32"/>
          <w:highlight w:val="none"/>
          <w:lang w:val="en-US" w:eastAsia="zh-CN"/>
        </w:rPr>
        <w:t>提交</w:t>
      </w:r>
      <w:r>
        <w:rPr>
          <w:rFonts w:hint="eastAsia" w:ascii="Times New Roman" w:hAnsi="Times New Roman" w:eastAsia="仿宋_GB2312" w:cs="Times New Roman"/>
          <w:i w:val="0"/>
          <w:iCs w:val="0"/>
          <w:color w:val="auto"/>
          <w:sz w:val="32"/>
          <w:szCs w:val="32"/>
          <w:highlight w:val="none"/>
          <w:lang w:val="en-US" w:eastAsia="zh-CN"/>
        </w:rPr>
        <w:t>行权和放弃行权</w:t>
      </w:r>
      <w:r>
        <w:rPr>
          <w:rFonts w:hint="default" w:ascii="Times New Roman" w:hAnsi="Times New Roman" w:eastAsia="仿宋_GB2312" w:cs="Times New Roman"/>
          <w:i w:val="0"/>
          <w:iCs w:val="0"/>
          <w:color w:val="auto"/>
          <w:sz w:val="32"/>
          <w:szCs w:val="32"/>
          <w:highlight w:val="none"/>
          <w:lang w:val="en-US" w:eastAsia="zh-CN"/>
        </w:rPr>
        <w:t>申请时间截止后，</w:t>
      </w:r>
      <w:r>
        <w:rPr>
          <w:rFonts w:hint="eastAsia" w:ascii="Times New Roman" w:hAnsi="Times New Roman" w:eastAsia="仿宋_GB2312" w:cs="Times New Roman"/>
          <w:i w:val="0"/>
          <w:iCs w:val="0"/>
          <w:color w:val="auto"/>
          <w:sz w:val="32"/>
          <w:szCs w:val="32"/>
          <w:highlight w:val="none"/>
          <w:lang w:val="en-US" w:eastAsia="zh-CN"/>
        </w:rPr>
        <w:t>交易所</w:t>
      </w:r>
      <w:r>
        <w:rPr>
          <w:rFonts w:hint="default" w:ascii="Times New Roman" w:hAnsi="Times New Roman" w:eastAsia="仿宋_GB2312" w:cs="Times New Roman"/>
          <w:i w:val="0"/>
          <w:iCs w:val="0"/>
          <w:color w:val="auto"/>
          <w:sz w:val="32"/>
          <w:szCs w:val="32"/>
          <w:highlight w:val="none"/>
          <w:lang w:val="en-US" w:eastAsia="zh-CN"/>
        </w:rPr>
        <w:t>根据期权买方提交的行权</w:t>
      </w:r>
      <w:r>
        <w:rPr>
          <w:rFonts w:hint="eastAsia" w:ascii="Times New Roman" w:hAnsi="Times New Roman" w:eastAsia="仿宋_GB2312" w:cs="Times New Roman"/>
          <w:i w:val="0"/>
          <w:iCs w:val="0"/>
          <w:color w:val="auto"/>
          <w:sz w:val="32"/>
          <w:szCs w:val="32"/>
          <w:highlight w:val="none"/>
          <w:lang w:val="en-US" w:eastAsia="zh-CN"/>
        </w:rPr>
        <w:t>申请</w:t>
      </w:r>
      <w:r>
        <w:rPr>
          <w:rFonts w:hint="default" w:ascii="Times New Roman" w:hAnsi="Times New Roman" w:eastAsia="仿宋_GB2312" w:cs="Times New Roman"/>
          <w:i w:val="0"/>
          <w:iCs w:val="0"/>
          <w:color w:val="auto"/>
          <w:sz w:val="32"/>
          <w:szCs w:val="32"/>
          <w:highlight w:val="none"/>
          <w:lang w:val="en-US" w:eastAsia="zh-CN"/>
        </w:rPr>
        <w:t>、</w:t>
      </w:r>
      <w:r>
        <w:rPr>
          <w:rFonts w:hint="eastAsia" w:ascii="Times New Roman" w:hAnsi="Times New Roman" w:eastAsia="仿宋_GB2312" w:cs="Times New Roman"/>
          <w:i w:val="0"/>
          <w:iCs w:val="0"/>
          <w:color w:val="auto"/>
          <w:sz w:val="32"/>
          <w:szCs w:val="32"/>
          <w:highlight w:val="none"/>
          <w:lang w:val="en-US" w:eastAsia="zh-CN"/>
        </w:rPr>
        <w:t>放弃行权申请</w:t>
      </w:r>
      <w:r>
        <w:rPr>
          <w:rFonts w:hint="default" w:ascii="Times New Roman" w:hAnsi="Times New Roman" w:eastAsia="仿宋_GB2312" w:cs="Times New Roman"/>
          <w:i w:val="0"/>
          <w:iCs w:val="0"/>
          <w:color w:val="auto"/>
          <w:sz w:val="32"/>
          <w:szCs w:val="32"/>
          <w:highlight w:val="none"/>
          <w:lang w:val="en-US" w:eastAsia="zh-CN"/>
        </w:rPr>
        <w:t>以及自动行权处理结果，按照随机均匀抽取原则选择卖方</w:t>
      </w:r>
      <w:r>
        <w:rPr>
          <w:rFonts w:hint="eastAsia" w:ascii="Times New Roman" w:hAnsi="Times New Roman" w:eastAsia="仿宋_GB2312" w:cs="Times New Roman"/>
          <w:i w:val="0"/>
          <w:iCs w:val="0"/>
          <w:color w:val="auto"/>
          <w:sz w:val="32"/>
          <w:szCs w:val="32"/>
          <w:highlight w:val="none"/>
          <w:lang w:val="en-US" w:eastAsia="zh-CN"/>
        </w:rPr>
        <w:t>持仓</w:t>
      </w:r>
      <w:r>
        <w:rPr>
          <w:rFonts w:hint="default" w:ascii="Times New Roman" w:hAnsi="Times New Roman" w:eastAsia="仿宋_GB2312" w:cs="Times New Roman"/>
          <w:i w:val="0"/>
          <w:iCs w:val="0"/>
          <w:color w:val="auto"/>
          <w:sz w:val="32"/>
          <w:szCs w:val="32"/>
          <w:highlight w:val="none"/>
          <w:lang w:val="en-US" w:eastAsia="zh-CN"/>
        </w:rPr>
        <w:t>进行配对。</w:t>
      </w:r>
    </w:p>
    <w:p>
      <w:pPr>
        <w:pStyle w:val="3"/>
        <w:numPr>
          <w:ilvl w:val="0"/>
          <w:numId w:val="2"/>
        </w:numPr>
        <w:ind w:firstLine="640" w:firstLineChars="200"/>
        <w:rPr>
          <w:rFonts w:hint="default" w:ascii="Times New Roman" w:hAnsi="Times New Roman"/>
          <w:highlight w:val="none"/>
          <w:lang w:val="en-US" w:eastAsia="zh-CN"/>
        </w:rPr>
      </w:pPr>
      <w:bookmarkStart w:id="82" w:name="_Toc298065736"/>
      <w:bookmarkStart w:id="83" w:name="_Toc1837760587"/>
      <w:bookmarkStart w:id="84" w:name="_Toc1097488971"/>
      <w:bookmarkStart w:id="85" w:name="_Toc468644026"/>
      <w:bookmarkStart w:id="86" w:name="_Toc319848603"/>
      <w:bookmarkStart w:id="87" w:name="_Toc410973300"/>
      <w:bookmarkStart w:id="88" w:name="_Toc103047039"/>
      <w:bookmarkStart w:id="89" w:name="_Toc1642198002"/>
      <w:bookmarkStart w:id="90" w:name="_Toc511398078"/>
      <w:bookmarkStart w:id="91" w:name="_Toc1876653443"/>
      <w:r>
        <w:rPr>
          <w:rFonts w:hint="default" w:ascii="Times New Roman" w:hAnsi="Times New Roman"/>
          <w:highlight w:val="none"/>
          <w:lang w:eastAsia="zh-CN"/>
        </w:rPr>
        <w:t>行权与履约结果</w:t>
      </w:r>
      <w:bookmarkEnd w:id="82"/>
      <w:bookmarkEnd w:id="83"/>
      <w:bookmarkEnd w:id="84"/>
      <w:bookmarkEnd w:id="85"/>
      <w:bookmarkEnd w:id="86"/>
      <w:bookmarkEnd w:id="87"/>
      <w:bookmarkEnd w:id="88"/>
      <w:bookmarkEnd w:id="89"/>
      <w:bookmarkEnd w:id="90"/>
      <w:bookmarkEnd w:id="91"/>
    </w:p>
    <w:p>
      <w:pPr>
        <w:widowControl/>
        <w:numPr>
          <w:ilvl w:val="-1"/>
          <w:numId w:val="0"/>
        </w:numPr>
        <w:tabs>
          <w:tab w:val="left" w:pos="0"/>
        </w:tabs>
        <w:spacing w:line="560" w:lineRule="exact"/>
        <w:ind w:leftChars="0" w:firstLine="640" w:firstLineChars="200"/>
        <w:rPr>
          <w:rFonts w:ascii="Times New Roman" w:hAnsi="Times New Roman" w:eastAsia="仿宋_GB2312"/>
          <w:bCs/>
          <w:kern w:val="0"/>
          <w:sz w:val="32"/>
          <w:szCs w:val="32"/>
          <w:highlight w:val="none"/>
        </w:rPr>
      </w:pPr>
      <w:r>
        <w:rPr>
          <w:rFonts w:ascii="Times New Roman" w:hAnsi="Times New Roman" w:eastAsia="仿宋_GB2312"/>
          <w:bCs/>
          <w:kern w:val="0"/>
          <w:sz w:val="32"/>
          <w:szCs w:val="32"/>
          <w:highlight w:val="none"/>
        </w:rPr>
        <w:t>看涨期权行权与履约后，买方按行权价格获得标的期货合约买持仓，卖方按同一行权价格获得标的期货合约卖持仓。</w:t>
      </w:r>
    </w:p>
    <w:p>
      <w:pPr>
        <w:widowControl/>
        <w:numPr>
          <w:ilvl w:val="0"/>
          <w:numId w:val="0"/>
        </w:numPr>
        <w:tabs>
          <w:tab w:val="left" w:pos="0"/>
        </w:tabs>
        <w:spacing w:line="560" w:lineRule="exact"/>
        <w:ind w:firstLine="640" w:firstLineChars="200"/>
        <w:rPr>
          <w:rFonts w:ascii="Times New Roman" w:hAnsi="Times New Roman" w:eastAsia="仿宋_GB2312"/>
          <w:bCs/>
          <w:kern w:val="0"/>
          <w:sz w:val="32"/>
          <w:szCs w:val="32"/>
          <w:highlight w:val="none"/>
        </w:rPr>
      </w:pPr>
      <w:r>
        <w:rPr>
          <w:rFonts w:ascii="Times New Roman" w:hAnsi="Times New Roman" w:eastAsia="仿宋_GB2312"/>
          <w:bCs/>
          <w:kern w:val="0"/>
          <w:sz w:val="32"/>
          <w:szCs w:val="32"/>
          <w:highlight w:val="none"/>
        </w:rPr>
        <w:t>看跌期权行权与履约后，买方按行权价格获得标的期货合约卖持仓，卖方按同一行权价格获得标的期货合约买持仓。</w:t>
      </w:r>
    </w:p>
    <w:p>
      <w:pPr>
        <w:widowControl/>
        <w:numPr>
          <w:ilvl w:val="0"/>
          <w:numId w:val="0"/>
        </w:numPr>
        <w:tabs>
          <w:tab w:val="left" w:pos="0"/>
        </w:tabs>
        <w:spacing w:line="560" w:lineRule="exact"/>
        <w:ind w:firstLine="640" w:firstLineChars="200"/>
        <w:rPr>
          <w:rFonts w:hint="eastAsia" w:ascii="Times New Roman" w:hAnsi="Times New Roman" w:eastAsia="仿宋_GB2312"/>
          <w:bCs/>
          <w:kern w:val="0"/>
          <w:sz w:val="32"/>
          <w:szCs w:val="32"/>
          <w:highlight w:val="none"/>
          <w:lang w:eastAsia="zh-CN"/>
        </w:rPr>
      </w:pPr>
      <w:r>
        <w:rPr>
          <w:rFonts w:hint="eastAsia" w:ascii="Times New Roman" w:hAnsi="Times New Roman" w:eastAsia="仿宋_GB2312"/>
          <w:bCs/>
          <w:kern w:val="0"/>
          <w:sz w:val="32"/>
          <w:szCs w:val="32"/>
          <w:highlight w:val="none"/>
          <w:lang w:eastAsia="zh-CN"/>
        </w:rPr>
        <w:t>行权与履约收取行权（履约）手续费。行权与履约后对应的期货开仓不计入期货合约成交量及当日结算价的计算，不收取手续费。</w:t>
      </w:r>
    </w:p>
    <w:p>
      <w:pPr>
        <w:pStyle w:val="3"/>
        <w:numPr>
          <w:ilvl w:val="0"/>
          <w:numId w:val="2"/>
        </w:numPr>
        <w:ind w:firstLine="640" w:firstLineChars="200"/>
        <w:rPr>
          <w:rFonts w:hint="default" w:ascii="Times New Roman" w:hAnsi="Times New Roman"/>
          <w:highlight w:val="none"/>
          <w:lang w:val="en-US" w:eastAsia="zh-CN"/>
        </w:rPr>
      </w:pPr>
      <w:bookmarkStart w:id="92" w:name="_Toc219596868"/>
      <w:bookmarkStart w:id="93" w:name="_Toc1009135521"/>
      <w:bookmarkStart w:id="94" w:name="_Toc2119901545"/>
      <w:bookmarkStart w:id="95" w:name="_Toc492059503"/>
      <w:bookmarkStart w:id="96" w:name="_Toc1765277972"/>
      <w:bookmarkStart w:id="97" w:name="_Toc998965650"/>
      <w:bookmarkStart w:id="98" w:name="_Toc621270974"/>
      <w:bookmarkStart w:id="99" w:name="_Toc328994601"/>
      <w:bookmarkStart w:id="100" w:name="_Toc1100793509"/>
      <w:bookmarkStart w:id="101" w:name="_Toc1044291870"/>
      <w:r>
        <w:rPr>
          <w:rFonts w:hint="default" w:ascii="Times New Roman" w:hAnsi="Times New Roman"/>
          <w:highlight w:val="none"/>
          <w:lang w:eastAsia="zh-CN"/>
        </w:rPr>
        <w:t>期权双向持仓自动对冲</w:t>
      </w:r>
      <w:bookmarkEnd w:id="92"/>
      <w:bookmarkEnd w:id="93"/>
      <w:bookmarkEnd w:id="94"/>
      <w:bookmarkEnd w:id="95"/>
      <w:bookmarkEnd w:id="96"/>
      <w:bookmarkEnd w:id="97"/>
      <w:bookmarkEnd w:id="98"/>
      <w:bookmarkEnd w:id="99"/>
      <w:bookmarkEnd w:id="100"/>
      <w:bookmarkEnd w:id="101"/>
    </w:p>
    <w:p>
      <w:pPr>
        <w:widowControl/>
        <w:numPr>
          <w:ilvl w:val="-1"/>
          <w:numId w:val="0"/>
        </w:numPr>
        <w:tabs>
          <w:tab w:val="left" w:pos="0"/>
        </w:tabs>
        <w:spacing w:line="560" w:lineRule="exact"/>
        <w:ind w:leftChars="0" w:firstLine="640" w:firstLineChars="200"/>
        <w:rPr>
          <w:rFonts w:hint="eastAsia" w:ascii="Times New Roman" w:hAnsi="Times New Roman" w:eastAsia="仿宋_GB2312"/>
          <w:kern w:val="0"/>
          <w:sz w:val="32"/>
          <w:szCs w:val="32"/>
          <w:highlight w:val="none"/>
          <w:lang w:eastAsia="zh-CN"/>
        </w:rPr>
      </w:pPr>
      <w:r>
        <w:rPr>
          <w:rFonts w:hint="eastAsia" w:ascii="Times New Roman" w:hAnsi="Times New Roman" w:eastAsia="仿宋_GB2312"/>
          <w:kern w:val="0"/>
          <w:sz w:val="32"/>
          <w:szCs w:val="32"/>
          <w:highlight w:val="none"/>
        </w:rPr>
        <w:t>非期货公司</w:t>
      </w:r>
      <w:r>
        <w:rPr>
          <w:rFonts w:ascii="Times New Roman" w:hAnsi="Times New Roman" w:eastAsia="仿宋_GB2312"/>
          <w:kern w:val="0"/>
          <w:sz w:val="32"/>
          <w:szCs w:val="32"/>
          <w:highlight w:val="none"/>
        </w:rPr>
        <w:t>会员、客户</w:t>
      </w:r>
      <w:r>
        <w:rPr>
          <w:rFonts w:hint="eastAsia" w:ascii="Times New Roman" w:hAnsi="Times New Roman" w:eastAsia="仿宋_GB2312"/>
          <w:kern w:val="0"/>
          <w:sz w:val="32"/>
          <w:szCs w:val="32"/>
          <w:highlight w:val="none"/>
        </w:rPr>
        <w:t>可以申请对其同一交易编码下的双向期权持仓对冲平仓</w:t>
      </w:r>
      <w:r>
        <w:rPr>
          <w:rFonts w:hint="eastAsia" w:ascii="Times New Roman" w:hAnsi="Times New Roman" w:eastAsia="仿宋_GB2312"/>
          <w:kern w:val="0"/>
          <w:sz w:val="32"/>
          <w:szCs w:val="32"/>
          <w:highlight w:val="none"/>
          <w:lang w:eastAsia="zh-CN"/>
        </w:rPr>
        <w:t>，平仓价格为该合约前一交易日的结算价</w:t>
      </w:r>
      <w:r>
        <w:rPr>
          <w:rFonts w:hint="eastAsia" w:ascii="Times New Roman" w:hAnsi="Times New Roman" w:eastAsia="仿宋_GB2312"/>
          <w:kern w:val="0"/>
          <w:sz w:val="32"/>
          <w:szCs w:val="32"/>
          <w:highlight w:val="none"/>
        </w:rPr>
        <w:t>。</w:t>
      </w:r>
      <w:r>
        <w:rPr>
          <w:rFonts w:ascii="Times New Roman" w:hAnsi="Times New Roman" w:eastAsia="仿宋_GB2312"/>
          <w:kern w:val="0"/>
          <w:sz w:val="32"/>
          <w:szCs w:val="32"/>
          <w:highlight w:val="none"/>
        </w:rPr>
        <w:t>对冲</w:t>
      </w:r>
      <w:r>
        <w:rPr>
          <w:rFonts w:hint="eastAsia" w:ascii="Times New Roman" w:hAnsi="Times New Roman" w:eastAsia="仿宋_GB2312"/>
          <w:kern w:val="0"/>
          <w:sz w:val="32"/>
          <w:szCs w:val="32"/>
          <w:highlight w:val="none"/>
          <w:lang w:eastAsia="zh-CN"/>
        </w:rPr>
        <w:t>平仓</w:t>
      </w:r>
      <w:r>
        <w:rPr>
          <w:rFonts w:ascii="Times New Roman" w:hAnsi="Times New Roman" w:eastAsia="仿宋_GB2312"/>
          <w:kern w:val="0"/>
          <w:sz w:val="32"/>
          <w:szCs w:val="32"/>
          <w:highlight w:val="none"/>
        </w:rPr>
        <w:t>结果计入成交量</w:t>
      </w:r>
      <w:r>
        <w:rPr>
          <w:rFonts w:hint="eastAsia" w:ascii="Times New Roman" w:hAnsi="Times New Roman" w:eastAsia="仿宋_GB2312"/>
          <w:kern w:val="0"/>
          <w:sz w:val="32"/>
          <w:szCs w:val="32"/>
          <w:highlight w:val="none"/>
          <w:lang w:eastAsia="zh-CN"/>
        </w:rPr>
        <w:t>，不计入当日结算价的计算，</w:t>
      </w:r>
      <w:r>
        <w:rPr>
          <w:rFonts w:ascii="Times New Roman" w:hAnsi="Times New Roman" w:eastAsia="仿宋_GB2312"/>
          <w:sz w:val="32"/>
          <w:szCs w:val="32"/>
          <w:highlight w:val="none"/>
        </w:rPr>
        <w:t>手续费</w:t>
      </w:r>
      <w:r>
        <w:rPr>
          <w:rFonts w:hint="eastAsia" w:ascii="Times New Roman" w:hAnsi="Times New Roman" w:eastAsia="仿宋_GB2312"/>
          <w:sz w:val="32"/>
          <w:szCs w:val="32"/>
          <w:highlight w:val="none"/>
        </w:rPr>
        <w:t>同国债期权合约仿真交易手续费</w:t>
      </w:r>
      <w:r>
        <w:rPr>
          <w:rFonts w:hint="eastAsia" w:ascii="Times New Roman" w:hAnsi="Times New Roman" w:eastAsia="仿宋_GB2312"/>
          <w:sz w:val="32"/>
          <w:szCs w:val="32"/>
          <w:highlight w:val="none"/>
          <w:lang w:eastAsia="zh-CN"/>
        </w:rPr>
        <w:t>。</w:t>
      </w:r>
    </w:p>
    <w:p>
      <w:pPr>
        <w:widowControl/>
        <w:numPr>
          <w:ilvl w:val="-1"/>
          <w:numId w:val="0"/>
        </w:numPr>
        <w:tabs>
          <w:tab w:val="left" w:pos="0"/>
        </w:tabs>
        <w:spacing w:line="560" w:lineRule="exact"/>
        <w:ind w:leftChars="0"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lang w:eastAsia="zh-CN"/>
        </w:rPr>
        <w:t>在交易时间内，</w:t>
      </w:r>
      <w:r>
        <w:rPr>
          <w:rFonts w:hint="eastAsia" w:ascii="Times New Roman" w:hAnsi="Times New Roman" w:eastAsia="仿宋_GB2312"/>
          <w:kern w:val="0"/>
          <w:sz w:val="32"/>
          <w:szCs w:val="32"/>
          <w:highlight w:val="none"/>
        </w:rPr>
        <w:t>非期货公司会员、客户</w:t>
      </w:r>
      <w:r>
        <w:rPr>
          <w:rFonts w:hint="eastAsia" w:ascii="Times New Roman" w:hAnsi="Times New Roman" w:eastAsia="仿宋_GB2312"/>
          <w:kern w:val="0"/>
          <w:sz w:val="32"/>
          <w:szCs w:val="32"/>
          <w:highlight w:val="none"/>
          <w:lang w:eastAsia="zh-CN"/>
        </w:rPr>
        <w:t>需通过会员经参与人平台进行申请</w:t>
      </w:r>
      <w:r>
        <w:rPr>
          <w:rFonts w:hint="eastAsia" w:ascii="Times New Roman" w:hAnsi="Times New Roman" w:eastAsia="仿宋_GB2312"/>
          <w:kern w:val="0"/>
          <w:sz w:val="32"/>
          <w:szCs w:val="32"/>
          <w:highlight w:val="none"/>
          <w:lang w:val="en" w:eastAsia="zh-CN"/>
        </w:rPr>
        <w:t>，</w:t>
      </w:r>
      <w:r>
        <w:rPr>
          <w:rFonts w:hint="eastAsia" w:ascii="Times New Roman" w:hAnsi="Times New Roman" w:eastAsia="仿宋_GB2312"/>
          <w:kern w:val="0"/>
          <w:sz w:val="32"/>
          <w:szCs w:val="32"/>
          <w:highlight w:val="none"/>
          <w:lang w:eastAsia="zh-CN"/>
        </w:rPr>
        <w:t>一次申请持续有效。</w:t>
      </w:r>
      <w:r>
        <w:rPr>
          <w:rFonts w:hint="eastAsia" w:ascii="Times New Roman" w:hAnsi="Times New Roman" w:eastAsia="仿宋_GB2312"/>
          <w:kern w:val="0"/>
          <w:sz w:val="32"/>
          <w:szCs w:val="32"/>
          <w:highlight w:val="none"/>
        </w:rPr>
        <w:t>非期货公司会员、客户</w:t>
      </w:r>
      <w:r>
        <w:rPr>
          <w:rFonts w:hint="eastAsia" w:ascii="Times New Roman" w:hAnsi="Times New Roman" w:eastAsia="仿宋_GB2312"/>
          <w:kern w:val="0"/>
          <w:sz w:val="32"/>
          <w:szCs w:val="32"/>
          <w:highlight w:val="none"/>
          <w:lang w:eastAsia="zh-CN"/>
        </w:rPr>
        <w:t>也可申请取消期权双向持仓自动对冲。</w:t>
      </w:r>
    </w:p>
    <w:p>
      <w:pPr>
        <w:pStyle w:val="3"/>
        <w:numPr>
          <w:ilvl w:val="0"/>
          <w:numId w:val="2"/>
        </w:numPr>
        <w:ind w:firstLine="640" w:firstLineChars="200"/>
        <w:rPr>
          <w:rFonts w:hint="default" w:ascii="Times New Roman" w:hAnsi="Times New Roman"/>
          <w:highlight w:val="none"/>
          <w:lang w:val="en-US" w:eastAsia="zh-CN"/>
        </w:rPr>
      </w:pPr>
      <w:bookmarkStart w:id="102" w:name="_Toc1507852443"/>
      <w:bookmarkStart w:id="103" w:name="_Toc1318998494"/>
      <w:bookmarkStart w:id="104" w:name="_Toc736958050"/>
      <w:bookmarkStart w:id="105" w:name="_Toc1698526584"/>
      <w:bookmarkStart w:id="106" w:name="_Toc1191894202"/>
      <w:bookmarkStart w:id="107" w:name="_Toc905612929"/>
      <w:bookmarkStart w:id="108" w:name="_Toc1130460286"/>
      <w:bookmarkStart w:id="109" w:name="_Toc1769776925"/>
      <w:bookmarkStart w:id="110" w:name="_Toc1888667334"/>
      <w:bookmarkStart w:id="111" w:name="_Toc1017054055"/>
      <w:r>
        <w:rPr>
          <w:rFonts w:hint="default" w:ascii="Times New Roman" w:hAnsi="Times New Roman"/>
          <w:highlight w:val="none"/>
          <w:lang w:eastAsia="zh-CN"/>
        </w:rPr>
        <w:t>行权（履约）后期货双向持仓自动对冲</w:t>
      </w:r>
      <w:bookmarkEnd w:id="102"/>
      <w:bookmarkEnd w:id="103"/>
      <w:bookmarkEnd w:id="104"/>
      <w:bookmarkEnd w:id="105"/>
      <w:bookmarkEnd w:id="106"/>
      <w:bookmarkEnd w:id="107"/>
      <w:bookmarkEnd w:id="108"/>
      <w:bookmarkEnd w:id="109"/>
      <w:bookmarkEnd w:id="110"/>
      <w:bookmarkEnd w:id="111"/>
    </w:p>
    <w:p>
      <w:pPr>
        <w:widowControl/>
        <w:numPr>
          <w:ilvl w:val="-1"/>
          <w:numId w:val="0"/>
        </w:numPr>
        <w:tabs>
          <w:tab w:val="left" w:pos="0"/>
        </w:tabs>
        <w:spacing w:line="560" w:lineRule="exact"/>
        <w:ind w:leftChars="0" w:firstLine="640" w:firstLineChars="200"/>
        <w:rPr>
          <w:rFonts w:hint="eastAsia" w:ascii="Times New Roman" w:hAnsi="Times New Roman" w:eastAsia="仿宋_GB2312"/>
          <w:kern w:val="0"/>
          <w:sz w:val="32"/>
          <w:szCs w:val="32"/>
          <w:highlight w:val="none"/>
          <w:lang w:eastAsia="zh-CN"/>
        </w:rPr>
      </w:pPr>
      <w:r>
        <w:rPr>
          <w:rFonts w:hint="eastAsia" w:ascii="Times New Roman" w:hAnsi="Times New Roman" w:eastAsia="仿宋_GB2312"/>
          <w:kern w:val="0"/>
          <w:sz w:val="32"/>
          <w:szCs w:val="32"/>
          <w:highlight w:val="none"/>
        </w:rPr>
        <w:t>非期货公司会员、客户可以申请</w:t>
      </w:r>
      <w:r>
        <w:rPr>
          <w:rFonts w:ascii="Times New Roman" w:hAnsi="Times New Roman" w:eastAsia="仿宋_GB2312"/>
          <w:kern w:val="0"/>
          <w:sz w:val="32"/>
          <w:szCs w:val="32"/>
          <w:highlight w:val="none"/>
        </w:rPr>
        <w:t>对</w:t>
      </w:r>
      <w:r>
        <w:rPr>
          <w:rFonts w:hint="eastAsia" w:ascii="Times New Roman" w:hAnsi="Times New Roman" w:eastAsia="仿宋_GB2312"/>
          <w:kern w:val="0"/>
          <w:sz w:val="32"/>
          <w:szCs w:val="32"/>
          <w:highlight w:val="none"/>
        </w:rPr>
        <w:t>其</w:t>
      </w:r>
      <w:r>
        <w:rPr>
          <w:rFonts w:ascii="Times New Roman" w:hAnsi="Times New Roman" w:eastAsia="仿宋_GB2312"/>
          <w:kern w:val="0"/>
          <w:sz w:val="32"/>
          <w:szCs w:val="32"/>
          <w:highlight w:val="none"/>
        </w:rPr>
        <w:t>同一交易编码下行权和履约后的双向期货持仓对冲平仓</w:t>
      </w:r>
      <w:r>
        <w:rPr>
          <w:rFonts w:hint="eastAsia" w:ascii="Times New Roman" w:hAnsi="Times New Roman" w:eastAsia="仿宋_GB2312"/>
          <w:kern w:val="0"/>
          <w:sz w:val="32"/>
          <w:szCs w:val="32"/>
          <w:highlight w:val="none"/>
          <w:lang w:eastAsia="zh-CN"/>
        </w:rPr>
        <w:t>，</w:t>
      </w:r>
      <w:r>
        <w:rPr>
          <w:rFonts w:hint="eastAsia" w:ascii="Times New Roman" w:hAnsi="Times New Roman" w:eastAsia="仿宋_GB2312"/>
          <w:kern w:val="0"/>
          <w:sz w:val="32"/>
          <w:szCs w:val="32"/>
          <w:highlight w:val="none"/>
        </w:rPr>
        <w:t>对冲数量不超过行权和履约获得的期货持仓量</w:t>
      </w:r>
      <w:r>
        <w:rPr>
          <w:rFonts w:hint="eastAsia" w:ascii="Times New Roman" w:hAnsi="Times New Roman" w:eastAsia="仿宋_GB2312"/>
          <w:kern w:val="0"/>
          <w:sz w:val="32"/>
          <w:szCs w:val="32"/>
          <w:highlight w:val="none"/>
          <w:lang w:eastAsia="zh-CN"/>
        </w:rPr>
        <w:t>，平仓价格为该合约当日结算价</w:t>
      </w:r>
      <w:r>
        <w:rPr>
          <w:rFonts w:hint="eastAsia" w:ascii="Times New Roman" w:hAnsi="Times New Roman" w:eastAsia="仿宋_GB2312"/>
          <w:kern w:val="0"/>
          <w:sz w:val="32"/>
          <w:szCs w:val="32"/>
          <w:highlight w:val="none"/>
        </w:rPr>
        <w:t>。对冲</w:t>
      </w:r>
      <w:r>
        <w:rPr>
          <w:rFonts w:hint="eastAsia" w:ascii="Times New Roman" w:hAnsi="Times New Roman" w:eastAsia="仿宋_GB2312"/>
          <w:kern w:val="0"/>
          <w:sz w:val="32"/>
          <w:szCs w:val="32"/>
          <w:highlight w:val="none"/>
          <w:lang w:eastAsia="zh-CN"/>
        </w:rPr>
        <w:t>平仓</w:t>
      </w:r>
      <w:r>
        <w:rPr>
          <w:rFonts w:hint="eastAsia" w:ascii="Times New Roman" w:hAnsi="Times New Roman" w:eastAsia="仿宋_GB2312"/>
          <w:kern w:val="0"/>
          <w:sz w:val="32"/>
          <w:szCs w:val="32"/>
          <w:highlight w:val="none"/>
        </w:rPr>
        <w:t>结果计入成交量</w:t>
      </w:r>
      <w:r>
        <w:rPr>
          <w:rFonts w:hint="eastAsia" w:ascii="Times New Roman" w:hAnsi="Times New Roman" w:eastAsia="仿宋_GB2312"/>
          <w:kern w:val="0"/>
          <w:sz w:val="32"/>
          <w:szCs w:val="32"/>
          <w:highlight w:val="none"/>
          <w:lang w:eastAsia="zh-CN"/>
        </w:rPr>
        <w:t>，</w:t>
      </w:r>
      <w:r>
        <w:rPr>
          <w:rFonts w:hint="eastAsia" w:ascii="Times New Roman" w:hAnsi="Times New Roman" w:eastAsia="仿宋_GB2312"/>
          <w:kern w:val="0"/>
          <w:sz w:val="32"/>
          <w:szCs w:val="32"/>
          <w:highlight w:val="none"/>
        </w:rPr>
        <w:t>手续费同国债期货</w:t>
      </w:r>
      <w:r>
        <w:rPr>
          <w:rFonts w:hint="eastAsia" w:ascii="Times New Roman" w:hAnsi="Times New Roman" w:eastAsia="仿宋_GB2312"/>
          <w:kern w:val="0"/>
          <w:sz w:val="32"/>
          <w:szCs w:val="32"/>
          <w:highlight w:val="none"/>
          <w:lang w:eastAsia="zh-CN"/>
        </w:rPr>
        <w:t>合约</w:t>
      </w:r>
      <w:r>
        <w:rPr>
          <w:rFonts w:hint="eastAsia" w:ascii="Times New Roman" w:hAnsi="Times New Roman" w:eastAsia="仿宋_GB2312"/>
          <w:kern w:val="0"/>
          <w:sz w:val="32"/>
          <w:szCs w:val="32"/>
          <w:highlight w:val="none"/>
        </w:rPr>
        <w:t>仿真交易手续费</w:t>
      </w:r>
      <w:r>
        <w:rPr>
          <w:rFonts w:hint="eastAsia" w:ascii="Times New Roman" w:hAnsi="Times New Roman" w:eastAsia="仿宋_GB2312"/>
          <w:kern w:val="0"/>
          <w:sz w:val="32"/>
          <w:szCs w:val="32"/>
          <w:highlight w:val="none"/>
          <w:lang w:eastAsia="zh-CN"/>
        </w:rPr>
        <w:t>。</w:t>
      </w:r>
    </w:p>
    <w:p>
      <w:pPr>
        <w:widowControl/>
        <w:numPr>
          <w:ilvl w:val="-1"/>
          <w:numId w:val="0"/>
        </w:numPr>
        <w:tabs>
          <w:tab w:val="left" w:pos="0"/>
        </w:tabs>
        <w:spacing w:line="560" w:lineRule="exact"/>
        <w:ind w:firstLine="640" w:firstLineChars="200"/>
        <w:rPr>
          <w:rFonts w:hint="eastAsia" w:ascii="Times New Roman" w:hAnsi="Times New Roman" w:eastAsia="仿宋_GB2312"/>
          <w:kern w:val="0"/>
          <w:sz w:val="32"/>
          <w:szCs w:val="32"/>
          <w:highlight w:val="none"/>
          <w:lang w:eastAsia="zh-CN"/>
        </w:rPr>
      </w:pPr>
      <w:r>
        <w:rPr>
          <w:rFonts w:hint="eastAsia" w:ascii="Times New Roman" w:hAnsi="Times New Roman" w:eastAsia="仿宋_GB2312"/>
          <w:kern w:val="0"/>
          <w:sz w:val="32"/>
          <w:szCs w:val="32"/>
          <w:highlight w:val="none"/>
          <w:lang w:eastAsia="zh-CN"/>
        </w:rPr>
        <w:t>在交易时间内，</w:t>
      </w:r>
      <w:r>
        <w:rPr>
          <w:rFonts w:hint="eastAsia" w:ascii="Times New Roman" w:hAnsi="Times New Roman" w:eastAsia="仿宋_GB2312"/>
          <w:kern w:val="0"/>
          <w:sz w:val="32"/>
          <w:szCs w:val="32"/>
          <w:highlight w:val="none"/>
        </w:rPr>
        <w:t>非期货公司会员、客户</w:t>
      </w:r>
      <w:r>
        <w:rPr>
          <w:rFonts w:hint="eastAsia" w:ascii="Times New Roman" w:hAnsi="Times New Roman" w:eastAsia="仿宋_GB2312"/>
          <w:kern w:val="0"/>
          <w:sz w:val="32"/>
          <w:szCs w:val="32"/>
          <w:highlight w:val="none"/>
          <w:lang w:eastAsia="zh-CN"/>
        </w:rPr>
        <w:t>需通过会员经参与人平台进行申请</w:t>
      </w:r>
      <w:r>
        <w:rPr>
          <w:rFonts w:hint="eastAsia" w:ascii="Times New Roman" w:hAnsi="Times New Roman" w:eastAsia="仿宋_GB2312"/>
          <w:kern w:val="0"/>
          <w:sz w:val="32"/>
          <w:szCs w:val="32"/>
          <w:highlight w:val="none"/>
          <w:lang w:val="en" w:eastAsia="zh-CN"/>
        </w:rPr>
        <w:t>，</w:t>
      </w:r>
      <w:r>
        <w:rPr>
          <w:rFonts w:hint="eastAsia" w:ascii="Times New Roman" w:hAnsi="Times New Roman" w:eastAsia="仿宋_GB2312"/>
          <w:kern w:val="0"/>
          <w:sz w:val="32"/>
          <w:szCs w:val="32"/>
          <w:highlight w:val="none"/>
          <w:lang w:eastAsia="zh-CN"/>
        </w:rPr>
        <w:t>一次申请持续有效。</w:t>
      </w:r>
      <w:r>
        <w:rPr>
          <w:rFonts w:hint="eastAsia" w:ascii="Times New Roman" w:hAnsi="Times New Roman" w:eastAsia="仿宋_GB2312"/>
          <w:kern w:val="0"/>
          <w:sz w:val="32"/>
          <w:szCs w:val="32"/>
          <w:highlight w:val="none"/>
        </w:rPr>
        <w:t>非期货公司会员、客户</w:t>
      </w:r>
      <w:r>
        <w:rPr>
          <w:rFonts w:hint="eastAsia" w:ascii="Times New Roman" w:hAnsi="Times New Roman" w:eastAsia="仿宋_GB2312"/>
          <w:kern w:val="0"/>
          <w:sz w:val="32"/>
          <w:szCs w:val="32"/>
          <w:highlight w:val="none"/>
          <w:lang w:eastAsia="zh-CN"/>
        </w:rPr>
        <w:t>也可申请取消期货双向持仓自动对冲。</w:t>
      </w:r>
    </w:p>
    <w:p>
      <w:pPr>
        <w:pStyle w:val="2"/>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rPr>
          <w:rFonts w:hint="default" w:ascii="Times New Roman" w:hAnsi="Times New Roman" w:eastAsia="黑体" w:cs="Times New Roman"/>
          <w:b w:val="0"/>
          <w:bCs/>
          <w:sz w:val="32"/>
          <w:szCs w:val="32"/>
          <w:highlight w:val="none"/>
          <w:lang w:eastAsia="zh-CN"/>
        </w:rPr>
      </w:pPr>
      <w:bookmarkStart w:id="112" w:name="_Toc1718759945"/>
      <w:bookmarkStart w:id="113" w:name="_Toc1953919462"/>
      <w:bookmarkStart w:id="114" w:name="_Toc1963843809"/>
      <w:bookmarkStart w:id="115" w:name="_Toc916269855"/>
      <w:bookmarkStart w:id="116" w:name="_Toc1573617403"/>
      <w:bookmarkStart w:id="117" w:name="_Toc892381265"/>
      <w:bookmarkStart w:id="118" w:name="_Toc389635696"/>
      <w:bookmarkStart w:id="119" w:name="_Toc687534081"/>
      <w:bookmarkStart w:id="120" w:name="_Toc997257141"/>
      <w:bookmarkStart w:id="121" w:name="_Toc1551052579"/>
      <w:r>
        <w:rPr>
          <w:rFonts w:hint="default" w:ascii="Times New Roman" w:hAnsi="Times New Roman" w:eastAsia="黑体" w:cs="Times New Roman"/>
          <w:b w:val="0"/>
          <w:bCs/>
          <w:sz w:val="32"/>
          <w:szCs w:val="32"/>
          <w:highlight w:val="none"/>
          <w:lang w:eastAsia="zh-CN"/>
        </w:rPr>
        <w:t>期货公司行权</w:t>
      </w:r>
      <w:r>
        <w:rPr>
          <w:rFonts w:hint="eastAsia" w:ascii="Times New Roman" w:hAnsi="Times New Roman" w:eastAsia="黑体" w:cs="Times New Roman"/>
          <w:b w:val="0"/>
          <w:bCs/>
          <w:sz w:val="32"/>
          <w:szCs w:val="32"/>
          <w:highlight w:val="none"/>
          <w:lang w:eastAsia="zh-CN"/>
        </w:rPr>
        <w:t>（</w:t>
      </w:r>
      <w:r>
        <w:rPr>
          <w:rFonts w:hint="default" w:ascii="Times New Roman" w:hAnsi="Times New Roman" w:eastAsia="黑体" w:cs="Times New Roman"/>
          <w:b w:val="0"/>
          <w:bCs/>
          <w:sz w:val="32"/>
          <w:szCs w:val="32"/>
          <w:highlight w:val="none"/>
          <w:lang w:eastAsia="zh-CN"/>
        </w:rPr>
        <w:t>履约</w:t>
      </w:r>
      <w:r>
        <w:rPr>
          <w:rFonts w:hint="eastAsia" w:ascii="Times New Roman" w:hAnsi="Times New Roman" w:eastAsia="黑体" w:cs="Times New Roman"/>
          <w:b w:val="0"/>
          <w:bCs/>
          <w:sz w:val="32"/>
          <w:szCs w:val="32"/>
          <w:highlight w:val="none"/>
          <w:lang w:eastAsia="zh-CN"/>
        </w:rPr>
        <w:t>）</w:t>
      </w:r>
      <w:r>
        <w:rPr>
          <w:rFonts w:hint="default" w:ascii="Times New Roman" w:hAnsi="Times New Roman" w:eastAsia="黑体" w:cs="Times New Roman"/>
          <w:b w:val="0"/>
          <w:bCs/>
          <w:sz w:val="32"/>
          <w:szCs w:val="32"/>
          <w:highlight w:val="none"/>
          <w:lang w:eastAsia="zh-CN"/>
        </w:rPr>
        <w:t>处理</w:t>
      </w:r>
      <w:bookmarkEnd w:id="112"/>
      <w:bookmarkEnd w:id="113"/>
      <w:bookmarkEnd w:id="114"/>
      <w:bookmarkEnd w:id="115"/>
      <w:bookmarkEnd w:id="116"/>
      <w:bookmarkEnd w:id="117"/>
      <w:bookmarkEnd w:id="118"/>
      <w:bookmarkEnd w:id="119"/>
      <w:bookmarkEnd w:id="120"/>
      <w:bookmarkEnd w:id="121"/>
    </w:p>
    <w:p>
      <w:pPr>
        <w:pStyle w:val="3"/>
        <w:numPr>
          <w:ilvl w:val="0"/>
          <w:numId w:val="3"/>
        </w:numPr>
        <w:bidi w:val="0"/>
        <w:ind w:left="0" w:leftChars="0" w:firstLine="640" w:firstLineChars="200"/>
        <w:rPr>
          <w:rFonts w:hint="default" w:ascii="Times New Roman" w:hAnsi="Times New Roman"/>
          <w:b w:val="0"/>
          <w:highlight w:val="none"/>
          <w:lang w:val="en-US" w:eastAsia="zh-CN"/>
        </w:rPr>
      </w:pPr>
      <w:bookmarkStart w:id="122" w:name="_Toc811349667"/>
      <w:bookmarkStart w:id="123" w:name="_Toc180650367"/>
      <w:bookmarkStart w:id="124" w:name="_Toc1364140473"/>
      <w:bookmarkStart w:id="125" w:name="_Toc672279229"/>
      <w:bookmarkStart w:id="126" w:name="_Toc524209919"/>
      <w:bookmarkStart w:id="127" w:name="_Toc1303409170"/>
      <w:bookmarkStart w:id="128" w:name="_Toc1275492087"/>
      <w:bookmarkStart w:id="129" w:name="_Toc300031900"/>
      <w:bookmarkStart w:id="130" w:name="_Toc1110961278"/>
      <w:bookmarkStart w:id="131" w:name="_Toc1494639665"/>
      <w:r>
        <w:rPr>
          <w:rFonts w:hint="default" w:ascii="Times New Roman" w:hAnsi="Times New Roman"/>
          <w:b w:val="0"/>
          <w:highlight w:val="none"/>
          <w:lang w:val="en-US" w:eastAsia="zh-CN"/>
        </w:rPr>
        <w:t>买方主动行权前端检查</w:t>
      </w:r>
      <w:bookmarkEnd w:id="122"/>
      <w:bookmarkEnd w:id="123"/>
      <w:bookmarkEnd w:id="124"/>
      <w:bookmarkEnd w:id="125"/>
      <w:bookmarkEnd w:id="126"/>
      <w:bookmarkEnd w:id="127"/>
      <w:bookmarkEnd w:id="128"/>
      <w:bookmarkEnd w:id="129"/>
      <w:bookmarkEnd w:id="130"/>
      <w:bookmarkEnd w:id="131"/>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Times New Roman" w:hAnsi="Times New Roman" w:eastAsia="仿宋_GB2312" w:cs="Times New Roman"/>
          <w:i w:val="0"/>
          <w:iCs w:val="0"/>
          <w:color w:val="auto"/>
          <w:sz w:val="32"/>
          <w:szCs w:val="32"/>
          <w:highlight w:val="none"/>
          <w:lang w:val="en-US" w:eastAsia="zh-CN"/>
        </w:rPr>
      </w:pPr>
      <w:bookmarkStart w:id="132" w:name="_Toc516526811"/>
      <w:bookmarkStart w:id="133" w:name="_Toc1156158016"/>
      <w:bookmarkStart w:id="134" w:name="_Toc93669824"/>
      <w:bookmarkStart w:id="135" w:name="_Toc733839872"/>
      <w:bookmarkStart w:id="136" w:name="_Toc1791409801"/>
      <w:r>
        <w:rPr>
          <w:rFonts w:hint="eastAsia" w:ascii="Times New Roman" w:hAnsi="Times New Roman" w:eastAsia="仿宋_GB2312" w:cs="Times New Roman"/>
          <w:i w:val="0"/>
          <w:iCs w:val="0"/>
          <w:color w:val="auto"/>
          <w:sz w:val="32"/>
          <w:szCs w:val="32"/>
          <w:highlight w:val="none"/>
          <w:lang w:val="en-US" w:eastAsia="zh-CN"/>
        </w:rPr>
        <w:t>指令申请</w:t>
      </w:r>
      <w:bookmarkEnd w:id="132"/>
      <w:bookmarkEnd w:id="133"/>
      <w:bookmarkEnd w:id="134"/>
      <w:bookmarkEnd w:id="135"/>
      <w:bookmarkEnd w:id="136"/>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买方提交行权申请时，其可用资金应当满足期货交易保证金要求，会员应检查并冻结客户相应资金。资金不足的，会员不得接受客户的行权申请。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撤销行权申请时，会员释放客户相应冻结的资金。</w:t>
      </w:r>
    </w:p>
    <w:p>
      <w:pPr>
        <w:keepNext w:val="0"/>
        <w:keepLines w:val="0"/>
        <w:numPr>
          <w:ilvl w:val="0"/>
          <w:numId w:val="4"/>
        </w:numPr>
        <w:bidi w:val="0"/>
        <w:spacing w:line="560" w:lineRule="exact"/>
        <w:ind w:left="0" w:leftChars="0" w:firstLine="640" w:firstLineChars="200"/>
        <w:outlineLvl w:val="2"/>
        <w:rPr>
          <w:rFonts w:hint="eastAsia" w:ascii="Times New Roman" w:hAnsi="Times New Roman" w:eastAsia="仿宋_GB2312"/>
          <w:b w:val="0"/>
          <w:sz w:val="32"/>
          <w:szCs w:val="32"/>
          <w:highlight w:val="none"/>
          <w:lang w:val="en-US" w:eastAsia="zh-CN"/>
        </w:rPr>
      </w:pPr>
      <w:bookmarkStart w:id="137" w:name="_Toc1472951520"/>
      <w:bookmarkStart w:id="138" w:name="_Toc1062990974"/>
      <w:bookmarkStart w:id="139" w:name="_Toc838649536"/>
      <w:bookmarkStart w:id="140" w:name="_Toc804975268"/>
      <w:bookmarkStart w:id="141" w:name="_Toc151115455"/>
      <w:r>
        <w:rPr>
          <w:rFonts w:hint="eastAsia" w:ascii="Times New Roman" w:hAnsi="Times New Roman" w:eastAsia="仿宋_GB2312"/>
          <w:b w:val="0"/>
          <w:sz w:val="32"/>
          <w:szCs w:val="32"/>
          <w:highlight w:val="none"/>
          <w:lang w:val="en-US" w:eastAsia="zh-CN"/>
        </w:rPr>
        <w:t>参与人平台申请</w:t>
      </w:r>
      <w:bookmarkEnd w:id="137"/>
      <w:bookmarkEnd w:id="138"/>
      <w:bookmarkEnd w:id="139"/>
      <w:bookmarkEnd w:id="140"/>
      <w:bookmarkEnd w:id="14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会员通过参与人平台代客户提交行权申请时，应先在柜台系统检查客户资金情况后，再做相应操作，避免为资金不足的客户提交行权申请。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会员应关注客户行权是否会导致其标的期货超仓。如客户可能超仓，应提醒客户及时进行期货平仓或期权平仓，否则将进入期货强行平仓程序。</w:t>
      </w:r>
    </w:p>
    <w:p>
      <w:pPr>
        <w:pStyle w:val="3"/>
        <w:numPr>
          <w:ilvl w:val="0"/>
          <w:numId w:val="3"/>
        </w:numPr>
        <w:bidi w:val="0"/>
        <w:ind w:left="0" w:leftChars="0" w:firstLine="640" w:firstLineChars="200"/>
        <w:rPr>
          <w:rFonts w:hint="default" w:ascii="Times New Roman" w:hAnsi="Times New Roman"/>
          <w:b w:val="0"/>
          <w:highlight w:val="none"/>
          <w:lang w:val="en-US" w:eastAsia="zh-CN"/>
        </w:rPr>
      </w:pPr>
      <w:bookmarkStart w:id="142" w:name="_Toc1821882784"/>
      <w:bookmarkStart w:id="143" w:name="_Toc363015854"/>
      <w:bookmarkStart w:id="144" w:name="_Toc105656830"/>
      <w:bookmarkStart w:id="145" w:name="_Toc1624894029"/>
      <w:bookmarkStart w:id="146" w:name="_Toc655673925"/>
      <w:bookmarkStart w:id="147" w:name="_Toc71548628"/>
      <w:bookmarkStart w:id="148" w:name="_Toc288454068"/>
      <w:bookmarkStart w:id="149" w:name="_Toc1164312099"/>
      <w:bookmarkStart w:id="150" w:name="_Toc1132528545"/>
      <w:bookmarkStart w:id="151" w:name="_Toc666966287"/>
      <w:r>
        <w:rPr>
          <w:rFonts w:hint="default" w:ascii="Times New Roman" w:hAnsi="Times New Roman"/>
          <w:b w:val="0"/>
          <w:highlight w:val="none"/>
          <w:lang w:val="en-US" w:eastAsia="zh-CN"/>
        </w:rPr>
        <w:t>期权到期提醒</w:t>
      </w:r>
      <w:bookmarkEnd w:id="142"/>
      <w:bookmarkEnd w:id="143"/>
      <w:bookmarkEnd w:id="144"/>
      <w:bookmarkEnd w:id="145"/>
      <w:bookmarkEnd w:id="146"/>
      <w:bookmarkEnd w:id="147"/>
      <w:bookmarkEnd w:id="148"/>
      <w:bookmarkEnd w:id="149"/>
      <w:bookmarkEnd w:id="150"/>
      <w:bookmarkEnd w:id="15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期权合约到期日前三个交易日起，会员应当通过客户端、短信或结算单等方式，提醒客户期权到期日期，妥善处理期权持仓。</w:t>
      </w:r>
    </w:p>
    <w:p>
      <w:pPr>
        <w:numPr>
          <w:ilvl w:val="0"/>
          <w:numId w:val="0"/>
        </w:numPr>
        <w:spacing w:line="560" w:lineRule="exact"/>
        <w:ind w:firstLine="640" w:firstLineChars="200"/>
        <w:rPr>
          <w:rFonts w:hint="default" w:ascii="Times New Roman" w:hAnsi="Times New Roman"/>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会员应重点关注实值期权持仓量较大的客户，提醒客户行权（履约）可能出现的资金不足和期货超仓风险，做好资金追加和超仓处置准备。</w:t>
      </w:r>
    </w:p>
    <w:p>
      <w:pPr>
        <w:pStyle w:val="3"/>
        <w:numPr>
          <w:ilvl w:val="0"/>
          <w:numId w:val="3"/>
        </w:numPr>
        <w:bidi w:val="0"/>
        <w:ind w:left="0" w:leftChars="0" w:firstLine="640" w:firstLineChars="200"/>
        <w:rPr>
          <w:rFonts w:hint="default" w:ascii="Times New Roman" w:hAnsi="Times New Roman"/>
          <w:b w:val="0"/>
          <w:highlight w:val="none"/>
          <w:lang w:val="en-US" w:eastAsia="zh-CN"/>
        </w:rPr>
      </w:pPr>
      <w:bookmarkStart w:id="152" w:name="_Toc336191394"/>
      <w:bookmarkStart w:id="153" w:name="_Toc936896101"/>
      <w:bookmarkStart w:id="154" w:name="_Toc347552051"/>
      <w:bookmarkStart w:id="155" w:name="_Toc541515164"/>
      <w:bookmarkStart w:id="156" w:name="_Toc1520113092"/>
      <w:bookmarkStart w:id="157" w:name="_Toc24988353"/>
      <w:bookmarkStart w:id="158" w:name="_Toc550919588"/>
      <w:bookmarkStart w:id="159" w:name="_Toc682237576"/>
      <w:bookmarkStart w:id="160" w:name="_Toc1342773795"/>
      <w:bookmarkStart w:id="161" w:name="_Toc610945743"/>
      <w:r>
        <w:rPr>
          <w:rFonts w:hint="default" w:ascii="Times New Roman" w:hAnsi="Times New Roman"/>
          <w:b w:val="0"/>
          <w:highlight w:val="none"/>
          <w:lang w:val="en-US" w:eastAsia="zh-CN"/>
        </w:rPr>
        <w:t>行权资金测算</w:t>
      </w:r>
      <w:bookmarkEnd w:id="152"/>
      <w:bookmarkEnd w:id="153"/>
      <w:bookmarkEnd w:id="154"/>
      <w:bookmarkEnd w:id="155"/>
      <w:bookmarkEnd w:id="156"/>
      <w:bookmarkEnd w:id="157"/>
      <w:bookmarkEnd w:id="158"/>
      <w:bookmarkEnd w:id="159"/>
      <w:bookmarkEnd w:id="160"/>
      <w:bookmarkEnd w:id="16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会员需在期权到期日前一交易日结算后及到期日交易时段、收市后，对客户行权资金进行测算。通知测算资金不足，特别是行权资金缺口较大的客户，做好资金准备、主动放弃行权或平仓。</w:t>
      </w:r>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会员应当加强对客户各项业务资金占用测算（含行权业务），并在交易所备足相应资金。</w:t>
      </w:r>
    </w:p>
    <w:p>
      <w:pPr>
        <w:pStyle w:val="3"/>
        <w:numPr>
          <w:ilvl w:val="0"/>
          <w:numId w:val="3"/>
        </w:numPr>
        <w:spacing w:line="560" w:lineRule="exact"/>
        <w:ind w:firstLine="640" w:firstLineChars="200"/>
        <w:outlineLvl w:val="1"/>
        <w:rPr>
          <w:rFonts w:hint="default" w:ascii="Times New Roman" w:hAnsi="Times New Roman"/>
          <w:highlight w:val="none"/>
          <w:lang w:val="en-US" w:eastAsia="zh-CN"/>
        </w:rPr>
      </w:pPr>
      <w:bookmarkStart w:id="162" w:name="_Toc1196028542"/>
      <w:bookmarkStart w:id="163" w:name="_Toc608573065"/>
      <w:bookmarkStart w:id="164" w:name="_Toc977826517"/>
      <w:bookmarkStart w:id="165" w:name="_Toc914490239"/>
      <w:bookmarkStart w:id="166" w:name="_Toc625456969"/>
      <w:bookmarkStart w:id="167" w:name="_Toc1345285330"/>
      <w:bookmarkStart w:id="168" w:name="_Toc381019063"/>
      <w:bookmarkStart w:id="169" w:name="_Toc1447222601"/>
      <w:bookmarkStart w:id="170" w:name="_Toc1753776170"/>
      <w:bookmarkStart w:id="171" w:name="_Toc515071410"/>
      <w:r>
        <w:rPr>
          <w:rFonts w:hint="eastAsia" w:ascii="Times New Roman" w:hAnsi="Times New Roman"/>
          <w:b w:val="0"/>
          <w:highlight w:val="none"/>
          <w:lang w:val="en-US" w:eastAsia="zh-CN"/>
        </w:rPr>
        <w:t>会员代客户提交</w:t>
      </w:r>
      <w:r>
        <w:rPr>
          <w:rFonts w:hint="default" w:ascii="Times New Roman" w:hAnsi="Times New Roman"/>
          <w:b w:val="0"/>
          <w:highlight w:val="none"/>
          <w:lang w:val="en-US" w:eastAsia="zh-CN"/>
        </w:rPr>
        <w:t>放弃</w:t>
      </w:r>
      <w:bookmarkEnd w:id="162"/>
      <w:bookmarkEnd w:id="163"/>
      <w:bookmarkEnd w:id="164"/>
      <w:bookmarkEnd w:id="165"/>
      <w:bookmarkEnd w:id="166"/>
      <w:bookmarkEnd w:id="167"/>
      <w:bookmarkEnd w:id="168"/>
      <w:bookmarkEnd w:id="169"/>
      <w:bookmarkEnd w:id="170"/>
      <w:r>
        <w:rPr>
          <w:rFonts w:hint="eastAsia" w:ascii="Times New Roman" w:hAnsi="Times New Roman"/>
          <w:b w:val="0"/>
          <w:highlight w:val="none"/>
          <w:lang w:val="en-US" w:eastAsia="zh-CN"/>
        </w:rPr>
        <w:t>行权申请</w:t>
      </w:r>
      <w:bookmarkEnd w:id="17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会员应当事先与客户签订协议，约定行权资金测算标准以及双方的权利义务。</w:t>
      </w:r>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对行权资金测算不足的客户，会员应当根据与客户签订的协议以及交易所业务规则规定，代客户进行放弃行权操作。</w:t>
      </w:r>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i w:val="0"/>
          <w:iCs w:val="0"/>
          <w:color w:val="auto"/>
          <w:sz w:val="32"/>
          <w:szCs w:val="32"/>
          <w:highlight w:val="none"/>
          <w:lang w:val="en" w:eastAsia="zh-CN"/>
        </w:rPr>
      </w:pPr>
      <w:r>
        <w:rPr>
          <w:rFonts w:hint="eastAsia" w:ascii="Times New Roman" w:hAnsi="Times New Roman" w:eastAsia="仿宋_GB2312" w:cs="Times New Roman"/>
          <w:i w:val="0"/>
          <w:iCs w:val="0"/>
          <w:color w:val="auto"/>
          <w:sz w:val="32"/>
          <w:szCs w:val="32"/>
          <w:highlight w:val="none"/>
          <w:lang w:val="en-US" w:eastAsia="zh-CN"/>
        </w:rPr>
        <w:t>会员应做好到期日与放弃行权有关的数据的保存与备查，作为解决潜在法律纠纷的依据。</w:t>
      </w:r>
    </w:p>
    <w:p>
      <w:pPr>
        <w:pStyle w:val="3"/>
        <w:numPr>
          <w:ilvl w:val="0"/>
          <w:numId w:val="3"/>
        </w:numPr>
        <w:ind w:firstLine="640" w:firstLineChars="200"/>
        <w:rPr>
          <w:rFonts w:hint="default" w:ascii="Times New Roman" w:hAnsi="Times New Roman"/>
          <w:highlight w:val="none"/>
          <w:lang w:val="en-US" w:eastAsia="zh-CN"/>
        </w:rPr>
      </w:pPr>
      <w:bookmarkStart w:id="172" w:name="_Toc461162424"/>
      <w:bookmarkStart w:id="173" w:name="_Toc1733459965"/>
      <w:bookmarkStart w:id="174" w:name="_Toc1365427665"/>
      <w:bookmarkStart w:id="175" w:name="_Toc1147350657"/>
      <w:bookmarkStart w:id="176" w:name="_Toc1833091185"/>
      <w:bookmarkStart w:id="177" w:name="_Toc292320539"/>
      <w:bookmarkStart w:id="178" w:name="_Toc1716812552"/>
      <w:bookmarkStart w:id="179" w:name="_Toc1445005897"/>
      <w:bookmarkStart w:id="180" w:name="_Toc942793608"/>
      <w:bookmarkStart w:id="181" w:name="_Toc1478568339"/>
      <w:r>
        <w:rPr>
          <w:rFonts w:hint="default" w:ascii="Times New Roman" w:hAnsi="Times New Roman"/>
          <w:b w:val="0"/>
          <w:highlight w:val="none"/>
          <w:lang w:val="en-US" w:eastAsia="zh-CN"/>
        </w:rPr>
        <w:t>通过参与人平台提交行权和放弃</w:t>
      </w:r>
      <w:r>
        <w:rPr>
          <w:rFonts w:hint="eastAsia" w:ascii="Times New Roman" w:hAnsi="Times New Roman"/>
          <w:b w:val="0"/>
          <w:highlight w:val="none"/>
          <w:lang w:val="en-US" w:eastAsia="zh-CN"/>
        </w:rPr>
        <w:t>行权</w:t>
      </w:r>
      <w:r>
        <w:rPr>
          <w:rFonts w:hint="default" w:ascii="Times New Roman" w:hAnsi="Times New Roman"/>
          <w:b w:val="0"/>
          <w:highlight w:val="none"/>
          <w:lang w:val="en-US" w:eastAsia="zh-CN"/>
        </w:rPr>
        <w:t>申请</w:t>
      </w:r>
      <w:bookmarkEnd w:id="172"/>
      <w:bookmarkEnd w:id="173"/>
      <w:bookmarkEnd w:id="174"/>
      <w:bookmarkEnd w:id="175"/>
      <w:bookmarkEnd w:id="176"/>
      <w:bookmarkEnd w:id="177"/>
      <w:bookmarkEnd w:id="178"/>
      <w:bookmarkEnd w:id="179"/>
      <w:bookmarkEnd w:id="180"/>
      <w:bookmarkEnd w:id="181"/>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sz w:val="32"/>
          <w:szCs w:val="32"/>
          <w:highlight w:val="none"/>
          <w:lang w:val="en" w:eastAsia="zh-CN"/>
        </w:rPr>
      </w:pPr>
      <w:r>
        <w:rPr>
          <w:rFonts w:hint="eastAsia" w:ascii="Times New Roman" w:hAnsi="Times New Roman" w:eastAsia="仿宋_GB2312" w:cs="Times New Roman"/>
          <w:i w:val="0"/>
          <w:iCs w:val="0"/>
          <w:sz w:val="32"/>
          <w:szCs w:val="32"/>
          <w:highlight w:val="none"/>
          <w:lang w:val="en" w:eastAsia="zh-CN"/>
        </w:rPr>
        <w:t>交易所参与人平台作为备用业务通道，支持会员代客户提交行权申请、放弃行权申请。</w:t>
      </w:r>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i w:val="0"/>
          <w:iCs w:val="0"/>
          <w:sz w:val="32"/>
          <w:szCs w:val="32"/>
          <w:highlight w:val="none"/>
          <w:lang w:val="en" w:eastAsia="zh-CN"/>
        </w:rPr>
      </w:pPr>
      <w:r>
        <w:rPr>
          <w:rFonts w:hint="eastAsia" w:ascii="Times New Roman" w:hAnsi="Times New Roman" w:eastAsia="仿宋_GB2312" w:cs="Times New Roman"/>
          <w:i w:val="0"/>
          <w:iCs w:val="0"/>
          <w:sz w:val="32"/>
          <w:szCs w:val="32"/>
          <w:highlight w:val="none"/>
          <w:lang w:val="en" w:eastAsia="zh-CN"/>
        </w:rPr>
        <w:t>建议会员将参与人平台作为应急通道，谨慎使用。</w:t>
      </w:r>
    </w:p>
    <w:p>
      <w:pPr>
        <w:pStyle w:val="2"/>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outlineLvl w:val="0"/>
        <w:rPr>
          <w:rFonts w:hint="default" w:ascii="Times New Roman" w:hAnsi="Times New Roman" w:eastAsia="黑体" w:cs="Times New Roman"/>
          <w:b w:val="0"/>
          <w:bCs/>
          <w:sz w:val="32"/>
          <w:szCs w:val="32"/>
          <w:highlight w:val="none"/>
          <w:lang w:eastAsia="zh-CN"/>
        </w:rPr>
      </w:pPr>
      <w:bookmarkStart w:id="182" w:name="_Toc279751903"/>
      <w:bookmarkStart w:id="183" w:name="_Toc1356544548"/>
      <w:bookmarkStart w:id="184" w:name="_Toc1959867665"/>
      <w:bookmarkStart w:id="185" w:name="_Toc795035320"/>
      <w:bookmarkStart w:id="186" w:name="_Toc287119683"/>
      <w:bookmarkStart w:id="187" w:name="_Toc418092456"/>
      <w:bookmarkStart w:id="188" w:name="_Toc949066317"/>
      <w:bookmarkStart w:id="189" w:name="_Toc656283501"/>
      <w:bookmarkStart w:id="190" w:name="_Toc489690304"/>
      <w:r>
        <w:rPr>
          <w:rFonts w:hint="default" w:ascii="Times New Roman" w:hAnsi="Times New Roman" w:eastAsia="黑体" w:cs="Times New Roman"/>
          <w:b w:val="0"/>
          <w:bCs/>
          <w:sz w:val="32"/>
          <w:szCs w:val="32"/>
          <w:highlight w:val="none"/>
          <w:lang w:eastAsia="zh-CN"/>
        </w:rPr>
        <w:t>行权时间、方式与处理顺序</w:t>
      </w:r>
      <w:bookmarkEnd w:id="182"/>
      <w:bookmarkEnd w:id="183"/>
      <w:bookmarkEnd w:id="184"/>
      <w:bookmarkEnd w:id="185"/>
      <w:bookmarkEnd w:id="186"/>
      <w:bookmarkEnd w:id="187"/>
      <w:bookmarkEnd w:id="188"/>
      <w:bookmarkEnd w:id="189"/>
      <w:bookmarkEnd w:id="190"/>
    </w:p>
    <w:p>
      <w:pPr>
        <w:pStyle w:val="3"/>
        <w:numPr>
          <w:ilvl w:val="0"/>
          <w:numId w:val="5"/>
        </w:numPr>
        <w:bidi w:val="0"/>
        <w:ind w:left="0" w:leftChars="0" w:firstLine="640" w:firstLineChars="200"/>
        <w:outlineLvl w:val="9"/>
        <w:rPr>
          <w:rFonts w:hint="default" w:ascii="Times New Roman" w:hAnsi="Times New Roman"/>
          <w:b w:val="0"/>
          <w:highlight w:val="none"/>
          <w:lang w:val="en-US" w:eastAsia="zh-CN"/>
        </w:rPr>
      </w:pPr>
      <w:bookmarkStart w:id="191" w:name="_Toc380183996"/>
      <w:bookmarkStart w:id="192" w:name="_Toc1378277724"/>
      <w:bookmarkStart w:id="193" w:name="_Toc2125177174"/>
      <w:bookmarkStart w:id="194" w:name="_Toc1000761395"/>
      <w:bookmarkStart w:id="195" w:name="_Toc586737713"/>
      <w:bookmarkStart w:id="196" w:name="_Toc26327660"/>
      <w:bookmarkStart w:id="197" w:name="_Toc2041696174"/>
      <w:bookmarkStart w:id="198" w:name="_Toc419199966"/>
      <w:bookmarkStart w:id="199" w:name="_Toc1562325026"/>
      <w:bookmarkStart w:id="200" w:name="_Toc917777508"/>
      <w:r>
        <w:rPr>
          <w:rFonts w:hint="default" w:ascii="Times New Roman" w:hAnsi="Times New Roman"/>
          <w:b w:val="0"/>
          <w:highlight w:val="none"/>
          <w:lang w:val="en-US" w:eastAsia="zh-CN"/>
        </w:rPr>
        <w:t>非到期日</w:t>
      </w:r>
      <w:bookmarkEnd w:id="191"/>
      <w:bookmarkEnd w:id="192"/>
      <w:bookmarkEnd w:id="193"/>
      <w:bookmarkEnd w:id="194"/>
      <w:bookmarkEnd w:id="195"/>
      <w:bookmarkEnd w:id="196"/>
      <w:bookmarkEnd w:id="197"/>
      <w:bookmarkEnd w:id="198"/>
      <w:bookmarkEnd w:id="199"/>
      <w:bookmarkEnd w:id="20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在</w:t>
      </w:r>
      <w:r>
        <w:rPr>
          <w:rFonts w:hint="default" w:ascii="Times New Roman" w:hAnsi="Times New Roman" w:eastAsia="仿宋_GB2312" w:cs="Times New Roman"/>
          <w:i w:val="0"/>
          <w:iCs w:val="0"/>
          <w:color w:val="auto"/>
          <w:sz w:val="32"/>
          <w:szCs w:val="32"/>
          <w:highlight w:val="none"/>
          <w:lang w:val="en-US" w:eastAsia="zh-CN"/>
        </w:rPr>
        <w:t>非到期日</w:t>
      </w:r>
      <w:r>
        <w:rPr>
          <w:rFonts w:hint="eastAsia" w:ascii="Times New Roman" w:hAnsi="Times New Roman" w:eastAsia="仿宋_GB2312" w:cs="Times New Roman"/>
          <w:i w:val="0"/>
          <w:iCs w:val="0"/>
          <w:color w:val="auto"/>
          <w:sz w:val="32"/>
          <w:szCs w:val="32"/>
          <w:highlight w:val="none"/>
          <w:lang w:val="en-US" w:eastAsia="zh-CN"/>
        </w:rPr>
        <w:t>交易时间内，非期货公司会员、客户可通过指令提交行权申请，</w:t>
      </w:r>
      <w:r>
        <w:rPr>
          <w:rFonts w:hint="eastAsia" w:ascii="Times New Roman" w:hAnsi="Times New Roman" w:eastAsia="仿宋_GB2312" w:cs="Times New Roman"/>
          <w:i w:val="0"/>
          <w:iCs w:val="0"/>
          <w:color w:val="auto"/>
          <w:sz w:val="32"/>
          <w:szCs w:val="32"/>
          <w:highlight w:val="none"/>
          <w:lang w:val="en" w:eastAsia="zh-CN"/>
        </w:rPr>
        <w:t>会员可通过参与人平台提交行权申请。非到期日</w:t>
      </w:r>
      <w:r>
        <w:rPr>
          <w:rFonts w:hint="eastAsia" w:ascii="Times New Roman" w:hAnsi="Times New Roman" w:eastAsia="仿宋_GB2312" w:cs="Times New Roman"/>
          <w:i w:val="0"/>
          <w:iCs w:val="0"/>
          <w:color w:val="auto"/>
          <w:sz w:val="32"/>
          <w:szCs w:val="32"/>
          <w:highlight w:val="none"/>
          <w:lang w:val="en-US" w:eastAsia="zh-CN"/>
        </w:rPr>
        <w:t>不能提交放弃行权申请。</w:t>
      </w:r>
    </w:p>
    <w:p>
      <w:pPr>
        <w:pStyle w:val="3"/>
        <w:numPr>
          <w:ilvl w:val="0"/>
          <w:numId w:val="5"/>
        </w:numPr>
        <w:bidi w:val="0"/>
        <w:ind w:left="0" w:leftChars="0" w:firstLine="640" w:firstLineChars="200"/>
        <w:outlineLvl w:val="9"/>
        <w:rPr>
          <w:rFonts w:hint="default" w:ascii="Times New Roman" w:hAnsi="Times New Roman"/>
          <w:b w:val="0"/>
          <w:highlight w:val="none"/>
          <w:lang w:val="en-US" w:eastAsia="zh-CN"/>
        </w:rPr>
      </w:pPr>
      <w:bookmarkStart w:id="201" w:name="_Toc1154380255"/>
      <w:bookmarkStart w:id="202" w:name="_Toc1120707661"/>
      <w:bookmarkStart w:id="203" w:name="_Toc1932738581"/>
      <w:bookmarkStart w:id="204" w:name="_Toc681019657"/>
      <w:bookmarkStart w:id="205" w:name="_Toc320267932"/>
      <w:bookmarkStart w:id="206" w:name="_Toc821806405"/>
      <w:bookmarkStart w:id="207" w:name="_Toc614582334"/>
      <w:bookmarkStart w:id="208" w:name="_Toc1301341961"/>
      <w:bookmarkStart w:id="209" w:name="_Toc556681665"/>
      <w:bookmarkStart w:id="210" w:name="_Toc932182038"/>
      <w:r>
        <w:rPr>
          <w:rFonts w:hint="default" w:ascii="Times New Roman" w:hAnsi="Times New Roman"/>
          <w:b w:val="0"/>
          <w:highlight w:val="none"/>
          <w:lang w:val="en-US" w:eastAsia="zh-CN"/>
        </w:rPr>
        <w:t>到期日</w:t>
      </w:r>
      <w:bookmarkEnd w:id="201"/>
      <w:bookmarkEnd w:id="202"/>
      <w:bookmarkEnd w:id="203"/>
      <w:bookmarkEnd w:id="204"/>
      <w:bookmarkEnd w:id="205"/>
      <w:bookmarkEnd w:id="206"/>
      <w:bookmarkEnd w:id="207"/>
      <w:bookmarkEnd w:id="208"/>
      <w:bookmarkEnd w:id="209"/>
      <w:bookmarkEnd w:id="21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olor w:val="auto"/>
          <w:sz w:val="32"/>
          <w:szCs w:val="32"/>
          <w:highlight w:val="none"/>
          <w:lang w:val="en" w:eastAsia="zh-CN"/>
        </w:rPr>
      </w:pPr>
      <w:r>
        <w:rPr>
          <w:rFonts w:hint="eastAsia" w:ascii="Times New Roman" w:hAnsi="Times New Roman" w:eastAsia="仿宋_GB2312" w:cs="Times New Roman"/>
          <w:i w:val="0"/>
          <w:iCs w:val="0"/>
          <w:color w:val="auto"/>
          <w:sz w:val="32"/>
          <w:szCs w:val="32"/>
          <w:highlight w:val="none"/>
          <w:lang w:val="en-US" w:eastAsia="zh-CN"/>
        </w:rPr>
        <w:t>在到期日交易时间及收市后15</w:t>
      </w:r>
      <w:r>
        <w:rPr>
          <w:rFonts w:hint="eastAsia" w:ascii="Times New Roman" w:hAnsi="Times New Roman" w:eastAsia="仿宋_GB2312" w:cs="Times New Roman"/>
          <w:i w:val="0"/>
          <w:iCs w:val="0"/>
          <w:color w:val="auto"/>
          <w:sz w:val="32"/>
          <w:szCs w:val="32"/>
          <w:highlight w:val="none"/>
          <w:lang w:val="en" w:eastAsia="zh-CN"/>
        </w:rPr>
        <w:t>分钟内</w:t>
      </w:r>
      <w:r>
        <w:rPr>
          <w:rFonts w:hint="eastAsia" w:ascii="Times New Roman" w:hAnsi="Times New Roman" w:eastAsia="仿宋_GB2312" w:cs="Times New Roman"/>
          <w:i w:val="0"/>
          <w:iCs w:val="0"/>
          <w:color w:val="auto"/>
          <w:sz w:val="32"/>
          <w:szCs w:val="32"/>
          <w:highlight w:val="none"/>
          <w:lang w:val="en-US" w:eastAsia="zh-CN"/>
        </w:rPr>
        <w:t>，</w:t>
      </w:r>
      <w:r>
        <w:rPr>
          <w:rFonts w:hint="eastAsia" w:ascii="Times New Roman" w:hAnsi="Times New Roman" w:eastAsia="仿宋_GB2312" w:cs="Times New Roman"/>
          <w:i w:val="0"/>
          <w:iCs w:val="0"/>
          <w:color w:val="auto"/>
          <w:sz w:val="32"/>
          <w:szCs w:val="32"/>
          <w:highlight w:val="none"/>
          <w:lang w:val="en" w:eastAsia="zh-CN"/>
        </w:rPr>
        <w:t>非期货公司会员、客户可通过指令提交行权和放弃行权申请，会员可通过参与人平台提交行权和放弃行权申请。</w:t>
      </w:r>
    </w:p>
    <w:p>
      <w:pPr>
        <w:pStyle w:val="3"/>
        <w:numPr>
          <w:ilvl w:val="0"/>
          <w:numId w:val="5"/>
        </w:numPr>
        <w:bidi w:val="0"/>
        <w:ind w:left="0" w:leftChars="0" w:firstLine="640" w:firstLineChars="200"/>
        <w:outlineLvl w:val="9"/>
        <w:rPr>
          <w:rFonts w:hint="default" w:ascii="Times New Roman" w:hAnsi="Times New Roman"/>
          <w:b w:val="0"/>
          <w:highlight w:val="none"/>
          <w:lang w:val="en-US" w:eastAsia="zh-CN"/>
        </w:rPr>
      </w:pPr>
      <w:bookmarkStart w:id="211" w:name="_Toc321178878"/>
      <w:bookmarkStart w:id="212" w:name="_Toc613102128"/>
      <w:bookmarkStart w:id="213" w:name="_Toc1399538224"/>
      <w:bookmarkStart w:id="214" w:name="_Toc1623890005"/>
      <w:bookmarkStart w:id="215" w:name="_Toc311612802"/>
      <w:bookmarkStart w:id="216" w:name="_Toc1580074680"/>
      <w:bookmarkStart w:id="217" w:name="_Toc530870450"/>
      <w:bookmarkStart w:id="218" w:name="_Toc1975066881"/>
      <w:bookmarkStart w:id="219" w:name="_Toc544394721"/>
      <w:bookmarkStart w:id="220" w:name="_Toc1318783380"/>
      <w:r>
        <w:rPr>
          <w:rFonts w:hint="default" w:ascii="Times New Roman" w:hAnsi="Times New Roman"/>
          <w:b w:val="0"/>
          <w:highlight w:val="none"/>
          <w:lang w:val="en-US" w:eastAsia="zh-CN"/>
        </w:rPr>
        <w:t>行权处理顺序</w:t>
      </w:r>
      <w:bookmarkEnd w:id="211"/>
      <w:bookmarkEnd w:id="212"/>
      <w:bookmarkEnd w:id="213"/>
      <w:bookmarkEnd w:id="214"/>
      <w:bookmarkEnd w:id="215"/>
      <w:bookmarkEnd w:id="216"/>
      <w:bookmarkEnd w:id="217"/>
      <w:bookmarkEnd w:id="218"/>
      <w:bookmarkEnd w:id="219"/>
      <w:bookmarkEnd w:id="220"/>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非到期日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非到期日</w:t>
      </w:r>
      <w:r>
        <w:rPr>
          <w:rFonts w:hint="default" w:ascii="Times New Roman" w:hAnsi="Times New Roman" w:eastAsia="仿宋_GB2312" w:cs="Times New Roman"/>
          <w:i w:val="0"/>
          <w:iCs w:val="0"/>
          <w:color w:val="auto"/>
          <w:sz w:val="32"/>
          <w:szCs w:val="32"/>
          <w:highlight w:val="none"/>
          <w:lang w:val="en-US" w:eastAsia="zh-CN"/>
        </w:rPr>
        <w:t>结算时，</w:t>
      </w:r>
      <w:r>
        <w:rPr>
          <w:rFonts w:hint="eastAsia" w:ascii="Times New Roman" w:hAnsi="Times New Roman" w:eastAsia="仿宋_GB2312" w:cs="Times New Roman"/>
          <w:i w:val="0"/>
          <w:iCs w:val="0"/>
          <w:color w:val="auto"/>
          <w:sz w:val="32"/>
          <w:szCs w:val="32"/>
          <w:highlight w:val="none"/>
          <w:lang w:val="en-US" w:eastAsia="zh-CN"/>
        </w:rPr>
        <w:t>交易所</w:t>
      </w:r>
      <w:r>
        <w:rPr>
          <w:rFonts w:hint="default" w:ascii="Times New Roman" w:hAnsi="Times New Roman" w:eastAsia="仿宋_GB2312" w:cs="Times New Roman"/>
          <w:i w:val="0"/>
          <w:iCs w:val="0"/>
          <w:color w:val="auto"/>
          <w:sz w:val="32"/>
          <w:szCs w:val="32"/>
          <w:highlight w:val="none"/>
          <w:lang w:val="en-US" w:eastAsia="zh-CN"/>
        </w:rPr>
        <w:t>对买方</w:t>
      </w:r>
      <w:r>
        <w:rPr>
          <w:rFonts w:hint="eastAsia" w:ascii="Times New Roman" w:hAnsi="Times New Roman" w:eastAsia="仿宋_GB2312" w:cs="Times New Roman"/>
          <w:i w:val="0"/>
          <w:iCs w:val="0"/>
          <w:color w:val="auto"/>
          <w:sz w:val="32"/>
          <w:szCs w:val="32"/>
          <w:highlight w:val="none"/>
          <w:lang w:val="en-US" w:eastAsia="zh-CN"/>
        </w:rPr>
        <w:t>通过指令和会员参与人平台提交</w:t>
      </w:r>
      <w:r>
        <w:rPr>
          <w:rFonts w:hint="default" w:ascii="Times New Roman" w:hAnsi="Times New Roman" w:eastAsia="仿宋_GB2312" w:cs="Times New Roman"/>
          <w:i w:val="0"/>
          <w:iCs w:val="0"/>
          <w:color w:val="auto"/>
          <w:sz w:val="32"/>
          <w:szCs w:val="32"/>
          <w:highlight w:val="none"/>
          <w:lang w:val="en-US" w:eastAsia="zh-CN"/>
        </w:rPr>
        <w:t>的行权申请</w:t>
      </w:r>
      <w:r>
        <w:rPr>
          <w:rFonts w:hint="eastAsia" w:ascii="Times New Roman" w:hAnsi="Times New Roman" w:eastAsia="仿宋_GB2312" w:cs="Times New Roman"/>
          <w:i w:val="0"/>
          <w:iCs w:val="0"/>
          <w:color w:val="auto"/>
          <w:sz w:val="32"/>
          <w:szCs w:val="32"/>
          <w:highlight w:val="none"/>
          <w:lang w:val="en-US" w:eastAsia="zh-CN"/>
        </w:rPr>
        <w:t>进行累计</w:t>
      </w:r>
      <w:r>
        <w:rPr>
          <w:rFonts w:hint="default" w:ascii="Times New Roman" w:hAnsi="Times New Roman" w:eastAsia="仿宋_GB2312" w:cs="Times New Roman"/>
          <w:i w:val="0"/>
          <w:iCs w:val="0"/>
          <w:color w:val="auto"/>
          <w:sz w:val="32"/>
          <w:szCs w:val="32"/>
          <w:highlight w:val="none"/>
          <w:lang w:val="en-US" w:eastAsia="zh-CN"/>
        </w:rPr>
        <w:t>，</w:t>
      </w:r>
      <w:r>
        <w:rPr>
          <w:rFonts w:hint="eastAsia" w:ascii="Times New Roman" w:hAnsi="Times New Roman" w:eastAsia="仿宋_GB2312" w:cs="Times New Roman"/>
          <w:i w:val="0"/>
          <w:iCs w:val="0"/>
          <w:color w:val="auto"/>
          <w:sz w:val="32"/>
          <w:szCs w:val="32"/>
          <w:highlight w:val="none"/>
          <w:lang w:val="en-US" w:eastAsia="zh-CN"/>
        </w:rPr>
        <w:t>并</w:t>
      </w:r>
      <w:r>
        <w:rPr>
          <w:rFonts w:hint="default" w:ascii="Times New Roman" w:hAnsi="Times New Roman" w:eastAsia="仿宋_GB2312" w:cs="Times New Roman"/>
          <w:i w:val="0"/>
          <w:iCs w:val="0"/>
          <w:color w:val="auto"/>
          <w:sz w:val="32"/>
          <w:szCs w:val="32"/>
          <w:highlight w:val="none"/>
          <w:lang w:val="en-US" w:eastAsia="zh-CN"/>
        </w:rPr>
        <w:t>按照</w:t>
      </w:r>
      <w:r>
        <w:rPr>
          <w:rFonts w:hint="eastAsia" w:ascii="Times New Roman" w:hAnsi="Times New Roman" w:eastAsia="仿宋_GB2312" w:cs="Times New Roman"/>
          <w:i w:val="0"/>
          <w:iCs w:val="0"/>
          <w:color w:val="auto"/>
          <w:sz w:val="32"/>
          <w:szCs w:val="32"/>
          <w:highlight w:val="none"/>
          <w:lang w:val="en-US" w:eastAsia="zh-CN"/>
        </w:rPr>
        <w:t>其累计行权申请量和持仓量的较小值确定实际行权量。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Times New Roman"/>
          <w:i w:val="0"/>
          <w:iCs w:val="0"/>
          <w:color w:val="auto"/>
          <w:sz w:val="32"/>
          <w:szCs w:val="32"/>
          <w:highlight w:val="none"/>
          <w:lang w:val="en-US" w:eastAsia="zh-CN"/>
        </w:rPr>
      </w:pPr>
      <w:r>
        <w:rPr>
          <w:rFonts w:hint="eastAsia" w:ascii="Times New Roman" w:hAnsi="Times New Roman" w:eastAsia="仿宋_GB2312" w:cs="Times New Roman"/>
          <w:i w:val="0"/>
          <w:iCs w:val="0"/>
          <w:color w:val="auto"/>
          <w:sz w:val="32"/>
          <w:szCs w:val="32"/>
          <w:highlight w:val="none"/>
          <w:lang w:val="en-US" w:eastAsia="zh-CN"/>
        </w:rPr>
        <w:t>2. 到期日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bCs/>
          <w:i w:val="0"/>
          <w:iCs w:val="0"/>
          <w:color w:val="auto"/>
          <w:sz w:val="24"/>
          <w:szCs w:val="24"/>
          <w:highlight w:val="none"/>
          <w:vertAlign w:val="baseline"/>
          <w:lang w:val="en" w:eastAsia="zh-CN"/>
        </w:rPr>
      </w:pPr>
      <w:r>
        <w:rPr>
          <w:rFonts w:hint="eastAsia" w:ascii="Times New Roman" w:hAnsi="Times New Roman" w:eastAsia="仿宋_GB2312" w:cs="Times New Roman"/>
          <w:i w:val="0"/>
          <w:iCs w:val="0"/>
          <w:color w:val="auto"/>
          <w:sz w:val="32"/>
          <w:szCs w:val="32"/>
          <w:highlight w:val="none"/>
          <w:lang w:val="en-US" w:eastAsia="zh-CN"/>
        </w:rPr>
        <w:t>到期日</w:t>
      </w:r>
      <w:r>
        <w:rPr>
          <w:rFonts w:hint="default" w:ascii="Times New Roman" w:hAnsi="Times New Roman" w:eastAsia="仿宋_GB2312" w:cs="Times New Roman"/>
          <w:i w:val="0"/>
          <w:iCs w:val="0"/>
          <w:color w:val="auto"/>
          <w:sz w:val="32"/>
          <w:szCs w:val="32"/>
          <w:highlight w:val="none"/>
          <w:lang w:val="en-US" w:eastAsia="zh-CN"/>
        </w:rPr>
        <w:t>结算时，对于买方的行权</w:t>
      </w:r>
      <w:r>
        <w:rPr>
          <w:rFonts w:hint="eastAsia" w:ascii="Times New Roman" w:hAnsi="Times New Roman" w:eastAsia="仿宋_GB2312" w:cs="Times New Roman"/>
          <w:i w:val="0"/>
          <w:iCs w:val="0"/>
          <w:color w:val="auto"/>
          <w:sz w:val="32"/>
          <w:szCs w:val="32"/>
          <w:highlight w:val="none"/>
          <w:lang w:val="en-US" w:eastAsia="zh-CN"/>
        </w:rPr>
        <w:t>、放弃行权</w:t>
      </w:r>
      <w:r>
        <w:rPr>
          <w:rFonts w:hint="default" w:ascii="Times New Roman" w:hAnsi="Times New Roman" w:eastAsia="仿宋_GB2312" w:cs="Times New Roman"/>
          <w:i w:val="0"/>
          <w:iCs w:val="0"/>
          <w:color w:val="auto"/>
          <w:sz w:val="32"/>
          <w:szCs w:val="32"/>
          <w:highlight w:val="none"/>
          <w:lang w:val="en-US" w:eastAsia="zh-CN"/>
        </w:rPr>
        <w:t>申请，交易所按以下顺序处理买方期权持仓</w:t>
      </w:r>
      <w:r>
        <w:rPr>
          <w:rFonts w:hint="eastAsia" w:ascii="Times New Roman" w:hAnsi="Times New Roman" w:eastAsia="仿宋_GB2312" w:cs="Times New Roman"/>
          <w:i w:val="0"/>
          <w:iCs w:val="0"/>
          <w:color w:val="auto"/>
          <w:sz w:val="32"/>
          <w:szCs w:val="32"/>
          <w:highlight w:val="none"/>
          <w:lang w:val="en-US" w:eastAsia="zh-CN"/>
        </w:rPr>
        <w:t>，直至可用的期权持仓处理完毕</w:t>
      </w:r>
      <w:r>
        <w:rPr>
          <w:rFonts w:hint="default" w:ascii="Times New Roman" w:hAnsi="Times New Roman" w:eastAsia="仿宋_GB2312" w:cs="Times New Roman"/>
          <w:i w:val="0"/>
          <w:iCs w:val="0"/>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i w:val="0"/>
          <w:iCs w:val="0"/>
          <w:color w:val="auto"/>
          <w:sz w:val="32"/>
          <w:szCs w:val="32"/>
          <w:highlight w:val="no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 w:eastAsia="zh-CN"/>
        </w:rPr>
        <w:t>表</w:t>
      </w:r>
      <w:r>
        <w:rPr>
          <w:rFonts w:hint="eastAsia" w:ascii="Times New Roman" w:hAnsi="Times New Roman" w:eastAsia="仿宋_GB2312" w:cs="Times New Roman"/>
          <w:b/>
          <w:bCs/>
          <w:i w:val="0"/>
          <w:iCs w:val="0"/>
          <w:color w:val="auto"/>
          <w:sz w:val="24"/>
          <w:szCs w:val="24"/>
          <w:highlight w:val="none"/>
          <w:vertAlign w:val="baseline"/>
          <w:lang w:val="en-US" w:eastAsia="zh-CN"/>
        </w:rPr>
        <w:t xml:space="preserve">1  </w:t>
      </w:r>
      <w:r>
        <w:rPr>
          <w:rFonts w:hint="default" w:ascii="Times New Roman" w:hAnsi="Times New Roman" w:eastAsia="仿宋_GB2312" w:cs="Times New Roman"/>
          <w:b/>
          <w:bCs/>
          <w:i w:val="0"/>
          <w:iCs w:val="0"/>
          <w:color w:val="auto"/>
          <w:sz w:val="24"/>
          <w:szCs w:val="24"/>
          <w:highlight w:val="none"/>
          <w:vertAlign w:val="baseline"/>
          <w:lang w:val="en-US" w:eastAsia="zh-CN"/>
        </w:rPr>
        <w:t>到期日国债期权买方行权</w:t>
      </w:r>
      <w:r>
        <w:rPr>
          <w:rFonts w:hint="eastAsia" w:ascii="Times New Roman" w:hAnsi="Times New Roman" w:eastAsia="仿宋_GB2312" w:cs="Times New Roman"/>
          <w:b/>
          <w:bCs/>
          <w:i w:val="0"/>
          <w:iCs w:val="0"/>
          <w:color w:val="auto"/>
          <w:sz w:val="24"/>
          <w:szCs w:val="24"/>
          <w:highlight w:val="none"/>
          <w:vertAlign w:val="baseline"/>
          <w:lang w:val="en-US" w:eastAsia="zh-CN"/>
        </w:rPr>
        <w:t>、放弃行权申请</w:t>
      </w:r>
      <w:r>
        <w:rPr>
          <w:rFonts w:hint="default" w:ascii="Times New Roman" w:hAnsi="Times New Roman" w:eastAsia="仿宋_GB2312" w:cs="Times New Roman"/>
          <w:b/>
          <w:bCs/>
          <w:i w:val="0"/>
          <w:iCs w:val="0"/>
          <w:color w:val="auto"/>
          <w:sz w:val="24"/>
          <w:szCs w:val="24"/>
          <w:highlight w:val="none"/>
          <w:vertAlign w:val="baseline"/>
          <w:lang w:val="en-US" w:eastAsia="zh-CN"/>
        </w:rPr>
        <w:t>处理顺序</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7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47" w:type="dxa"/>
            <w:shd w:val="clear" w:color="auto" w:fill="D7D7D7"/>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i w:val="0"/>
                <w:iCs w:val="0"/>
                <w:sz w:val="24"/>
                <w:szCs w:val="24"/>
                <w:highlight w:val="none"/>
                <w:vertAlign w:val="baseline"/>
                <w:lang w:val="en-US" w:eastAsia="zh-CN"/>
              </w:rPr>
            </w:pPr>
            <w:r>
              <w:rPr>
                <w:rFonts w:hint="default" w:ascii="Times New Roman" w:hAnsi="Times New Roman" w:eastAsia="仿宋_GB2312" w:cs="Times New Roman"/>
                <w:b/>
                <w:bCs/>
                <w:i w:val="0"/>
                <w:iCs w:val="0"/>
                <w:sz w:val="24"/>
                <w:szCs w:val="24"/>
                <w:highlight w:val="none"/>
                <w:vertAlign w:val="baseline"/>
                <w:lang w:val="en-US" w:eastAsia="zh-CN"/>
              </w:rPr>
              <w:t>步骤</w:t>
            </w:r>
          </w:p>
        </w:tc>
        <w:tc>
          <w:tcPr>
            <w:tcW w:w="7372" w:type="dxa"/>
            <w:shd w:val="clear" w:color="auto" w:fill="D7D7D7"/>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i w:val="0"/>
                <w:iCs w:val="0"/>
                <w:sz w:val="24"/>
                <w:szCs w:val="24"/>
                <w:highlight w:val="none"/>
                <w:vertAlign w:val="baseline"/>
                <w:lang w:val="en-US" w:eastAsia="zh-CN"/>
              </w:rPr>
            </w:pPr>
            <w:r>
              <w:rPr>
                <w:rFonts w:hint="default" w:ascii="Times New Roman" w:hAnsi="Times New Roman" w:eastAsia="仿宋_GB2312" w:cs="Times New Roman"/>
                <w:b/>
                <w:bCs/>
                <w:i w:val="0"/>
                <w:iCs w:val="0"/>
                <w:sz w:val="24"/>
                <w:szCs w:val="24"/>
                <w:highlight w:val="none"/>
                <w:vertAlign w:val="baselin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第一步</w:t>
            </w:r>
          </w:p>
        </w:tc>
        <w:tc>
          <w:tcPr>
            <w:tcW w:w="4326"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bCs/>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处理以指令形式提交的行权、放弃</w:t>
            </w:r>
            <w:r>
              <w:rPr>
                <w:rFonts w:hint="eastAsia" w:ascii="Times New Roman" w:hAnsi="Times New Roman" w:eastAsia="仿宋_GB2312" w:cs="Times New Roman"/>
                <w:b/>
                <w:bCs/>
                <w:i w:val="0"/>
                <w:iCs w:val="0"/>
                <w:color w:val="auto"/>
                <w:sz w:val="24"/>
                <w:szCs w:val="24"/>
                <w:highlight w:val="none"/>
                <w:vertAlign w:val="baseline"/>
                <w:lang w:val="en-US" w:eastAsia="zh-CN"/>
              </w:rPr>
              <w:t>行权</w:t>
            </w:r>
            <w:r>
              <w:rPr>
                <w:rFonts w:hint="default" w:ascii="Times New Roman" w:hAnsi="Times New Roman" w:eastAsia="仿宋_GB2312" w:cs="Times New Roman"/>
                <w:b/>
                <w:bCs/>
                <w:i w:val="0"/>
                <w:iCs w:val="0"/>
                <w:color w:val="auto"/>
                <w:sz w:val="24"/>
                <w:szCs w:val="24"/>
                <w:highlight w:val="none"/>
                <w:vertAlign w:val="baseline"/>
                <w:lang w:val="en-US" w:eastAsia="zh-CN"/>
              </w:rPr>
              <w:t>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i w:val="0"/>
                <w:iCs w:val="0"/>
                <w:color w:val="auto"/>
                <w:sz w:val="24"/>
                <w:szCs w:val="24"/>
                <w:highlight w:val="none"/>
                <w:vertAlign w:val="baseline"/>
                <w:lang w:val="en-US" w:eastAsia="zh-CN"/>
              </w:rPr>
            </w:pPr>
            <w:r>
              <w:rPr>
                <w:rFonts w:hint="default" w:ascii="Times New Roman" w:hAnsi="Times New Roman" w:eastAsia="仿宋_GB2312" w:cs="Times New Roman"/>
                <w:i w:val="0"/>
                <w:iCs w:val="0"/>
                <w:color w:val="auto"/>
                <w:sz w:val="24"/>
                <w:szCs w:val="24"/>
                <w:highlight w:val="none"/>
                <w:vertAlign w:val="baseline"/>
                <w:lang w:val="en-US" w:eastAsia="zh-CN"/>
              </w:rPr>
              <w:t>按照提交时间顺序，从后向前处理。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第二步</w:t>
            </w:r>
          </w:p>
        </w:tc>
        <w:tc>
          <w:tcPr>
            <w:tcW w:w="4326"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处理参与人平台提交的行权、放弃</w:t>
            </w:r>
            <w:r>
              <w:rPr>
                <w:rFonts w:hint="eastAsia" w:ascii="Times New Roman" w:hAnsi="Times New Roman" w:eastAsia="仿宋_GB2312" w:cs="Times New Roman"/>
                <w:b/>
                <w:bCs/>
                <w:i w:val="0"/>
                <w:iCs w:val="0"/>
                <w:color w:val="auto"/>
                <w:sz w:val="24"/>
                <w:szCs w:val="24"/>
                <w:highlight w:val="none"/>
                <w:vertAlign w:val="baseline"/>
                <w:lang w:val="en-US" w:eastAsia="zh-CN"/>
              </w:rPr>
              <w:t>行权</w:t>
            </w:r>
            <w:r>
              <w:rPr>
                <w:rFonts w:hint="default" w:ascii="Times New Roman" w:hAnsi="Times New Roman" w:eastAsia="仿宋_GB2312" w:cs="Times New Roman"/>
                <w:b/>
                <w:bCs/>
                <w:i w:val="0"/>
                <w:iCs w:val="0"/>
                <w:color w:val="auto"/>
                <w:sz w:val="24"/>
                <w:szCs w:val="24"/>
                <w:highlight w:val="none"/>
                <w:vertAlign w:val="baseline"/>
                <w:lang w:val="en-US" w:eastAsia="zh-CN"/>
              </w:rPr>
              <w:t>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i w:val="0"/>
                <w:iCs w:val="0"/>
                <w:color w:val="auto"/>
                <w:sz w:val="24"/>
                <w:szCs w:val="24"/>
                <w:highlight w:val="none"/>
                <w:vertAlign w:val="baseline"/>
                <w:lang w:val="en-US" w:eastAsia="zh-CN"/>
              </w:rPr>
            </w:pPr>
            <w:r>
              <w:rPr>
                <w:rFonts w:hint="default" w:ascii="Times New Roman" w:hAnsi="Times New Roman" w:eastAsia="仿宋_GB2312" w:cs="Times New Roman"/>
                <w:i w:val="0"/>
                <w:iCs w:val="0"/>
                <w:color w:val="auto"/>
                <w:sz w:val="24"/>
                <w:szCs w:val="24"/>
                <w:highlight w:val="none"/>
                <w:vertAlign w:val="baseline"/>
                <w:lang w:val="en-US" w:eastAsia="zh-CN"/>
              </w:rPr>
              <w:t>按照提交时间顺序，从后向前处理。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第三步</w:t>
            </w:r>
          </w:p>
        </w:tc>
        <w:tc>
          <w:tcPr>
            <w:tcW w:w="4326"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i w:val="0"/>
                <w:iCs w:val="0"/>
                <w:color w:val="auto"/>
                <w:sz w:val="24"/>
                <w:szCs w:val="24"/>
                <w:highlight w:val="none"/>
                <w:vertAlign w:val="baseline"/>
                <w:lang w:val="en-US" w:eastAsia="zh-CN"/>
              </w:rPr>
            </w:pPr>
            <w:r>
              <w:rPr>
                <w:rFonts w:hint="default" w:ascii="Times New Roman" w:hAnsi="Times New Roman" w:eastAsia="仿宋_GB2312" w:cs="Times New Roman"/>
                <w:b/>
                <w:bCs/>
                <w:i w:val="0"/>
                <w:iCs w:val="0"/>
                <w:color w:val="auto"/>
                <w:sz w:val="24"/>
                <w:szCs w:val="24"/>
                <w:highlight w:val="none"/>
                <w:vertAlign w:val="baseline"/>
                <w:lang w:val="en-US" w:eastAsia="zh-CN"/>
              </w:rPr>
              <w:t>对剩余持仓进行自动行权或自动放弃</w:t>
            </w:r>
            <w:r>
              <w:rPr>
                <w:rFonts w:hint="eastAsia" w:ascii="Times New Roman" w:hAnsi="Times New Roman" w:eastAsia="仿宋_GB2312" w:cs="Times New Roman"/>
                <w:b/>
                <w:bCs/>
                <w:i w:val="0"/>
                <w:iCs w:val="0"/>
                <w:color w:val="auto"/>
                <w:sz w:val="24"/>
                <w:szCs w:val="24"/>
                <w:highlight w:val="none"/>
                <w:vertAlign w:val="baseline"/>
                <w:lang w:val="en-US" w:eastAsia="zh-CN"/>
              </w:rPr>
              <w:t>行权</w:t>
            </w:r>
            <w:r>
              <w:rPr>
                <w:rFonts w:hint="default" w:ascii="Times New Roman" w:hAnsi="Times New Roman" w:eastAsia="仿宋_GB2312" w:cs="Times New Roman"/>
                <w:b/>
                <w:bCs/>
                <w:i w:val="0"/>
                <w:iCs w:val="0"/>
                <w:color w:val="auto"/>
                <w:sz w:val="24"/>
                <w:szCs w:val="24"/>
                <w:highlight w:val="none"/>
                <w:vertAlign w:val="baseline"/>
                <w:lang w:val="en-US" w:eastAsia="zh-CN"/>
              </w:rPr>
              <w:t>处理。</w:t>
            </w:r>
          </w:p>
        </w:tc>
      </w:tr>
    </w:tbl>
    <w:p>
      <w:pPr>
        <w:pStyle w:val="2"/>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rPr>
          <w:rFonts w:hint="default" w:ascii="Times New Roman" w:hAnsi="Times New Roman" w:eastAsia="黑体" w:cs="Times New Roman"/>
          <w:b w:val="0"/>
          <w:bCs/>
          <w:sz w:val="32"/>
          <w:szCs w:val="32"/>
          <w:highlight w:val="none"/>
          <w:lang w:eastAsia="zh-CN"/>
        </w:rPr>
      </w:pPr>
      <w:bookmarkStart w:id="221" w:name="_Toc925043420"/>
      <w:bookmarkStart w:id="222" w:name="_Toc1016313985"/>
      <w:bookmarkStart w:id="223" w:name="_Toc1729184022"/>
      <w:bookmarkStart w:id="224" w:name="_Toc1629987261"/>
      <w:bookmarkStart w:id="225" w:name="_Toc772728846"/>
      <w:bookmarkStart w:id="226" w:name="_Toc1222951185"/>
      <w:bookmarkStart w:id="227" w:name="_Toc338305707"/>
      <w:bookmarkStart w:id="228" w:name="_Toc106598614"/>
      <w:bookmarkStart w:id="229" w:name="_Toc1335869964"/>
      <w:bookmarkStart w:id="230" w:name="_Toc786273220"/>
      <w:r>
        <w:rPr>
          <w:rFonts w:hint="default" w:ascii="Times New Roman" w:hAnsi="Times New Roman" w:eastAsia="黑体" w:cs="Times New Roman"/>
          <w:b w:val="0"/>
          <w:bCs/>
          <w:sz w:val="32"/>
          <w:szCs w:val="32"/>
          <w:highlight w:val="none"/>
          <w:lang w:eastAsia="zh-CN"/>
        </w:rPr>
        <w:t>注意问题</w:t>
      </w:r>
      <w:bookmarkEnd w:id="221"/>
      <w:bookmarkEnd w:id="222"/>
      <w:bookmarkEnd w:id="223"/>
      <w:bookmarkEnd w:id="224"/>
      <w:bookmarkEnd w:id="225"/>
      <w:bookmarkEnd w:id="226"/>
      <w:bookmarkEnd w:id="227"/>
      <w:bookmarkEnd w:id="228"/>
      <w:bookmarkEnd w:id="229"/>
      <w:bookmarkEnd w:id="230"/>
    </w:p>
    <w:p>
      <w:pPr>
        <w:pStyle w:val="3"/>
        <w:numPr>
          <w:ilvl w:val="0"/>
          <w:numId w:val="7"/>
        </w:numPr>
        <w:bidi w:val="0"/>
        <w:ind w:left="0" w:leftChars="0" w:firstLine="640" w:firstLineChars="200"/>
        <w:outlineLvl w:val="9"/>
        <w:rPr>
          <w:rFonts w:hint="default" w:ascii="Times New Roman" w:hAnsi="Times New Roman"/>
          <w:highlight w:val="none"/>
          <w:lang w:eastAsia="zh-CN"/>
        </w:rPr>
      </w:pPr>
      <w:bookmarkStart w:id="231" w:name="_Toc1950901322"/>
      <w:bookmarkStart w:id="232" w:name="_Toc52600481"/>
      <w:bookmarkStart w:id="233" w:name="_Toc1652358645"/>
      <w:bookmarkStart w:id="234" w:name="_Toc1741594604"/>
      <w:bookmarkStart w:id="235" w:name="_Toc121489967"/>
      <w:bookmarkStart w:id="236" w:name="_Toc457457610"/>
      <w:bookmarkStart w:id="237" w:name="_Toc1060574947"/>
      <w:bookmarkStart w:id="238" w:name="_Toc328303851"/>
      <w:bookmarkStart w:id="239" w:name="_Toc69787093"/>
      <w:bookmarkStart w:id="240" w:name="_Toc508794861"/>
      <w:r>
        <w:rPr>
          <w:rFonts w:hint="default" w:ascii="Times New Roman" w:hAnsi="Times New Roman"/>
          <w:highlight w:val="none"/>
          <w:lang w:eastAsia="zh-CN"/>
        </w:rPr>
        <w:t>业务处理顺序</w:t>
      </w:r>
      <w:bookmarkEnd w:id="231"/>
      <w:bookmarkEnd w:id="232"/>
      <w:bookmarkEnd w:id="233"/>
      <w:bookmarkEnd w:id="234"/>
      <w:bookmarkEnd w:id="235"/>
      <w:bookmarkEnd w:id="236"/>
      <w:bookmarkEnd w:id="237"/>
      <w:bookmarkEnd w:id="238"/>
      <w:bookmarkEnd w:id="239"/>
      <w:bookmarkEnd w:id="240"/>
    </w:p>
    <w:p>
      <w:pPr>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国债期权仿真交易行权（履约）业务在收市后按照</w:t>
      </w:r>
      <w:r>
        <w:rPr>
          <w:rFonts w:hint="eastAsia" w:ascii="Times New Roman" w:hAnsi="Times New Roman" w:eastAsia="仿宋_GB2312"/>
          <w:kern w:val="0"/>
          <w:sz w:val="32"/>
          <w:szCs w:val="32"/>
        </w:rPr>
        <w:t>双向期权持仓对冲平仓</w:t>
      </w:r>
      <w:r>
        <w:rPr>
          <w:rFonts w:hint="eastAsia" w:ascii="Times New Roman" w:hAnsi="Times New Roman" w:eastAsia="仿宋_GB2312" w:cs="Times New Roman"/>
          <w:sz w:val="32"/>
          <w:szCs w:val="32"/>
          <w:highlight w:val="none"/>
          <w:lang w:eastAsia="zh-CN"/>
        </w:rPr>
        <w:t>、期权行权（履约）期货开仓、</w:t>
      </w:r>
      <w:r>
        <w:rPr>
          <w:rFonts w:ascii="Times New Roman" w:hAnsi="Times New Roman" w:eastAsia="仿宋_GB2312"/>
          <w:kern w:val="0"/>
          <w:sz w:val="32"/>
          <w:szCs w:val="32"/>
        </w:rPr>
        <w:t>行权</w:t>
      </w:r>
      <w:r>
        <w:rPr>
          <w:rFonts w:hint="eastAsia" w:ascii="Times New Roman" w:hAnsi="Times New Roman" w:eastAsia="仿宋_GB2312"/>
          <w:kern w:val="0"/>
          <w:sz w:val="32"/>
          <w:szCs w:val="32"/>
          <w:lang w:eastAsia="zh-CN"/>
        </w:rPr>
        <w:t>（</w:t>
      </w:r>
      <w:r>
        <w:rPr>
          <w:rFonts w:ascii="Times New Roman" w:hAnsi="Times New Roman" w:eastAsia="仿宋_GB2312"/>
          <w:kern w:val="0"/>
          <w:sz w:val="32"/>
          <w:szCs w:val="32"/>
        </w:rPr>
        <w:t>履约</w:t>
      </w:r>
      <w:r>
        <w:rPr>
          <w:rFonts w:hint="eastAsia" w:ascii="Times New Roman" w:hAnsi="Times New Roman" w:eastAsia="仿宋_GB2312"/>
          <w:kern w:val="0"/>
          <w:sz w:val="32"/>
          <w:szCs w:val="32"/>
          <w:lang w:eastAsia="zh-CN"/>
        </w:rPr>
        <w:t>）</w:t>
      </w:r>
      <w:r>
        <w:rPr>
          <w:rFonts w:ascii="Times New Roman" w:hAnsi="Times New Roman" w:eastAsia="仿宋_GB2312"/>
          <w:kern w:val="0"/>
          <w:sz w:val="32"/>
          <w:szCs w:val="32"/>
        </w:rPr>
        <w:t>后双向期货持仓对冲平仓</w:t>
      </w:r>
      <w:r>
        <w:rPr>
          <w:rFonts w:hint="eastAsia" w:ascii="Times New Roman" w:hAnsi="Times New Roman" w:eastAsia="仿宋_GB2312" w:cs="Times New Roman"/>
          <w:sz w:val="32"/>
          <w:szCs w:val="32"/>
          <w:highlight w:val="none"/>
          <w:lang w:eastAsia="zh-CN"/>
        </w:rPr>
        <w:t>的顺序处理。</w:t>
      </w:r>
    </w:p>
    <w:p>
      <w:pPr>
        <w:pStyle w:val="3"/>
        <w:numPr>
          <w:ilvl w:val="0"/>
          <w:numId w:val="7"/>
        </w:numPr>
        <w:bidi w:val="0"/>
        <w:ind w:left="0" w:leftChars="0" w:firstLine="640" w:firstLineChars="200"/>
        <w:rPr>
          <w:rFonts w:hint="default" w:ascii="Times New Roman" w:hAnsi="Times New Roman"/>
          <w:highlight w:val="none"/>
          <w:lang w:eastAsia="zh-CN"/>
        </w:rPr>
      </w:pPr>
      <w:bookmarkStart w:id="241" w:name="_Toc312477352"/>
      <w:bookmarkStart w:id="242" w:name="_Toc1274356627"/>
      <w:bookmarkStart w:id="243" w:name="_Toc1303074190"/>
      <w:bookmarkStart w:id="244" w:name="_Toc456675445"/>
      <w:bookmarkStart w:id="245" w:name="_Toc1767482384"/>
      <w:bookmarkStart w:id="246" w:name="_Toc284258678"/>
      <w:bookmarkStart w:id="247" w:name="_Toc1134398224"/>
      <w:bookmarkStart w:id="248" w:name="_Toc597114019"/>
      <w:bookmarkStart w:id="249" w:name="_Toc1353796697"/>
      <w:bookmarkStart w:id="250" w:name="_Toc2060308965"/>
      <w:r>
        <w:rPr>
          <w:rFonts w:hint="default" w:ascii="Times New Roman" w:hAnsi="Times New Roman"/>
          <w:highlight w:val="none"/>
          <w:lang w:eastAsia="zh-CN"/>
        </w:rPr>
        <w:t>大量虚值期权行权</w:t>
      </w:r>
      <w:bookmarkEnd w:id="241"/>
      <w:bookmarkEnd w:id="242"/>
      <w:bookmarkEnd w:id="243"/>
      <w:bookmarkEnd w:id="244"/>
      <w:bookmarkEnd w:id="245"/>
      <w:bookmarkEnd w:id="246"/>
      <w:bookmarkEnd w:id="247"/>
      <w:bookmarkEnd w:id="248"/>
      <w:bookmarkEnd w:id="249"/>
      <w:bookmarkEnd w:id="250"/>
    </w:p>
    <w:p>
      <w:pPr>
        <w:pageBreakBefore w:val="0"/>
        <w:widowControl w:val="0"/>
        <w:kinsoku/>
        <w:wordWrap/>
        <w:overflowPunct/>
        <w:topLinePunct w:val="0"/>
        <w:autoSpaceDE/>
        <w:autoSpaceDN/>
        <w:bidi w:val="0"/>
        <w:adjustRightInd/>
        <w:spacing w:line="560" w:lineRule="exact"/>
        <w:ind w:firstLine="640"/>
        <w:jc w:val="both"/>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客户进行大量虚值期权行权时，会员应重点关注并了解客户行权目的和意向，给予相应风险提醒。</w:t>
      </w:r>
    </w:p>
    <w:p>
      <w:pPr>
        <w:pStyle w:val="3"/>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jc w:val="both"/>
        <w:textAlignment w:val="auto"/>
        <w:outlineLvl w:val="1"/>
        <w:rPr>
          <w:rFonts w:hint="default" w:ascii="Times New Roman" w:hAnsi="Times New Roman" w:eastAsia="楷体" w:cs="Times New Roman"/>
          <w:i w:val="0"/>
          <w:iCs w:val="0"/>
          <w:sz w:val="32"/>
          <w:szCs w:val="24"/>
          <w:highlight w:val="none"/>
          <w:lang w:eastAsia="zh-CN"/>
        </w:rPr>
      </w:pPr>
      <w:bookmarkStart w:id="251" w:name="_Toc123922298"/>
      <w:bookmarkStart w:id="252" w:name="_Toc344021972"/>
      <w:bookmarkStart w:id="253" w:name="_Toc1964692450"/>
      <w:bookmarkStart w:id="254" w:name="_Toc1928848943"/>
      <w:bookmarkStart w:id="255" w:name="_Toc953138098"/>
      <w:bookmarkStart w:id="256" w:name="_Toc1796819809"/>
      <w:bookmarkStart w:id="257" w:name="_Toc1275551667"/>
      <w:bookmarkStart w:id="258" w:name="_Toc747971483"/>
      <w:bookmarkStart w:id="259" w:name="_Toc749911016"/>
      <w:bookmarkStart w:id="260" w:name="_Toc2138782122"/>
      <w:r>
        <w:rPr>
          <w:rFonts w:hint="default" w:ascii="Times New Roman" w:hAnsi="Times New Roman" w:eastAsia="楷体" w:cs="Times New Roman"/>
          <w:i w:val="0"/>
          <w:iCs w:val="0"/>
          <w:sz w:val="32"/>
          <w:szCs w:val="24"/>
          <w:highlight w:val="none"/>
          <w:lang w:eastAsia="zh-CN"/>
        </w:rPr>
        <w:t>暂停交易</w:t>
      </w:r>
      <w:bookmarkEnd w:id="251"/>
      <w:bookmarkEnd w:id="252"/>
      <w:bookmarkEnd w:id="253"/>
      <w:bookmarkEnd w:id="254"/>
      <w:bookmarkEnd w:id="255"/>
      <w:bookmarkEnd w:id="256"/>
      <w:bookmarkEnd w:id="257"/>
      <w:bookmarkEnd w:id="258"/>
      <w:bookmarkEnd w:id="259"/>
      <w:bookmarkEnd w:id="260"/>
    </w:p>
    <w:p>
      <w:pPr>
        <w:keepNext w:val="0"/>
        <w:keepLines w:val="0"/>
        <w:numPr>
          <w:ilvl w:val="0"/>
          <w:numId w:val="0"/>
        </w:numPr>
        <w:bidi w:val="0"/>
        <w:spacing w:line="560" w:lineRule="exact"/>
        <w:ind w:firstLine="640" w:firstLineChars="200"/>
        <w:rPr>
          <w:rFonts w:hint="default" w:ascii="Times New Roman" w:hAnsi="Times New Roman"/>
          <w:highlight w:val="none"/>
          <w:lang w:eastAsia="zh-CN"/>
        </w:rPr>
      </w:pPr>
      <w:r>
        <w:rPr>
          <w:rFonts w:hint="default" w:ascii="Times New Roman" w:hAnsi="Times New Roman" w:eastAsia="仿宋_GB2312" w:cs="Times New Roman"/>
          <w:i w:val="0"/>
          <w:iCs w:val="0"/>
          <w:color w:val="auto"/>
          <w:sz w:val="32"/>
          <w:szCs w:val="32"/>
          <w:highlight w:val="none"/>
          <w:lang w:val="en-US" w:eastAsia="zh-CN"/>
        </w:rPr>
        <w:t>最后交易日期权合约全天暂停交易的，</w:t>
      </w:r>
      <w:r>
        <w:rPr>
          <w:rFonts w:hint="eastAsia" w:ascii="Times New Roman" w:hAnsi="Times New Roman" w:eastAsia="仿宋_GB2312" w:cs="Times New Roman"/>
          <w:i w:val="0"/>
          <w:iCs w:val="0"/>
          <w:color w:val="auto"/>
          <w:sz w:val="32"/>
          <w:szCs w:val="32"/>
          <w:highlight w:val="none"/>
          <w:lang w:val="en-US" w:eastAsia="zh-CN"/>
        </w:rPr>
        <w:t>最后交易日</w:t>
      </w:r>
      <w:r>
        <w:rPr>
          <w:rFonts w:hint="default" w:ascii="Times New Roman" w:hAnsi="Times New Roman" w:eastAsia="仿宋_GB2312" w:cs="Times New Roman"/>
          <w:i w:val="0"/>
          <w:iCs w:val="0"/>
          <w:color w:val="auto"/>
          <w:sz w:val="32"/>
          <w:szCs w:val="32"/>
          <w:highlight w:val="none"/>
          <w:lang w:val="en-US" w:eastAsia="zh-CN"/>
        </w:rPr>
        <w:t>顺延到下一交易日。</w:t>
      </w:r>
    </w:p>
    <w:p>
      <w:pPr>
        <w:pStyle w:val="3"/>
        <w:numPr>
          <w:ilvl w:val="0"/>
          <w:numId w:val="7"/>
        </w:numPr>
        <w:bidi w:val="0"/>
        <w:ind w:left="0" w:leftChars="0" w:firstLine="640" w:firstLineChars="200"/>
        <w:rPr>
          <w:rFonts w:hint="default" w:ascii="Times New Roman" w:hAnsi="Times New Roman"/>
          <w:highlight w:val="none"/>
          <w:lang w:eastAsia="zh-CN"/>
        </w:rPr>
      </w:pPr>
      <w:bookmarkStart w:id="261" w:name="_Toc324883622"/>
      <w:bookmarkStart w:id="262" w:name="_Toc293448957"/>
      <w:bookmarkStart w:id="263" w:name="_Toc1570900058"/>
      <w:bookmarkStart w:id="264" w:name="_Toc520716125"/>
      <w:bookmarkStart w:id="265" w:name="_Toc1071237124"/>
      <w:bookmarkStart w:id="266" w:name="_Toc1497448530"/>
      <w:bookmarkStart w:id="267" w:name="_Toc1703239146"/>
      <w:bookmarkStart w:id="268" w:name="_Toc925417870"/>
      <w:bookmarkStart w:id="269" w:name="_Toc577707635"/>
      <w:bookmarkStart w:id="270" w:name="_Toc192663844"/>
      <w:r>
        <w:rPr>
          <w:rFonts w:hint="default" w:ascii="Times New Roman" w:hAnsi="Times New Roman"/>
          <w:highlight w:val="none"/>
          <w:lang w:eastAsia="zh-CN"/>
        </w:rPr>
        <w:t>行权（履约）后</w:t>
      </w:r>
      <w:r>
        <w:rPr>
          <w:rFonts w:hint="eastAsia" w:ascii="Times New Roman" w:hAnsi="Times New Roman"/>
          <w:highlight w:val="none"/>
          <w:lang w:eastAsia="zh-CN"/>
        </w:rPr>
        <w:t>结算</w:t>
      </w:r>
      <w:r>
        <w:rPr>
          <w:rFonts w:hint="default" w:ascii="Times New Roman" w:hAnsi="Times New Roman"/>
          <w:highlight w:val="none"/>
          <w:lang w:eastAsia="zh-CN"/>
        </w:rPr>
        <w:t>会员资金不足及客户超仓</w:t>
      </w:r>
      <w:bookmarkEnd w:id="261"/>
      <w:bookmarkEnd w:id="262"/>
      <w:bookmarkEnd w:id="263"/>
      <w:bookmarkEnd w:id="264"/>
      <w:bookmarkEnd w:id="265"/>
      <w:bookmarkEnd w:id="266"/>
      <w:bookmarkEnd w:id="267"/>
      <w:bookmarkEnd w:id="268"/>
      <w:bookmarkEnd w:id="269"/>
      <w:bookmarkEnd w:id="270"/>
    </w:p>
    <w:p>
      <w:pPr>
        <w:pageBreakBefore w:val="0"/>
        <w:widowControl w:val="0"/>
        <w:kinsoku/>
        <w:wordWrap/>
        <w:overflowPunct/>
        <w:topLinePunct w:val="0"/>
        <w:autoSpaceDE/>
        <w:autoSpaceDN/>
        <w:bidi w:val="0"/>
        <w:adjustRightInd/>
        <w:spacing w:line="560" w:lineRule="exact"/>
        <w:ind w:firstLine="640"/>
        <w:jc w:val="both"/>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行权（履约）后，结算会员资金不足或客户超过持仓限额的，参照强行平仓有关规定执行。</w:t>
      </w:r>
    </w:p>
    <w:sectPr>
      <w:footerReference r:id="rId4" w:type="default"/>
      <w:pgSz w:w="11906" w:h="16838"/>
      <w:pgMar w:top="1440" w:right="1800" w:bottom="1440" w:left="1800" w:header="720" w:footer="72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Liberation Sans">
    <w:altName w:val="宋体"/>
    <w:panose1 w:val="00000000000000000000"/>
    <w:charset w:val="00"/>
    <w:family w:val="swiss"/>
    <w:pitch w:val="default"/>
    <w:sig w:usb0="00000000" w:usb1="00000000" w:usb2="00000000" w:usb3="00000000" w:csb0="00040001" w:csb1="00000000"/>
  </w:font>
  <w:font w:name="Noto Sans CJK SC Regular">
    <w:panose1 w:val="020B0500000000000000"/>
    <w:charset w:val="86"/>
    <w:family w:val="auto"/>
    <w:pitch w:val="default"/>
    <w:sig w:usb0="30000003" w:usb1="2BDF3C10" w:usb2="00000016" w:usb3="00000000" w:csb0="602E0107" w:csb1="00000000"/>
  </w:font>
  <w:font w:name="方正大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nbQviyAEAAJkDAAAOAAAAAAAA&#10;AAEAIAAAADQBAABkcnMvZTJvRG9jLnhtbFBLBQYAAAAABgAGAFkBAABu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C4105"/>
    <w:multiLevelType w:val="singleLevel"/>
    <w:tmpl w:val="8FFC4105"/>
    <w:lvl w:ilvl="0" w:tentative="0">
      <w:start w:val="1"/>
      <w:numFmt w:val="chineseCounting"/>
      <w:suff w:val="nothing"/>
      <w:lvlText w:val="%1、"/>
      <w:lvlJc w:val="left"/>
      <w:rPr>
        <w:rFonts w:hint="eastAsia"/>
      </w:rPr>
    </w:lvl>
  </w:abstractNum>
  <w:abstractNum w:abstractNumId="1">
    <w:nsid w:val="A6F50FB2"/>
    <w:multiLevelType w:val="singleLevel"/>
    <w:tmpl w:val="A6F50FB2"/>
    <w:lvl w:ilvl="0" w:tentative="0">
      <w:start w:val="1"/>
      <w:numFmt w:val="chineseCounting"/>
      <w:suff w:val="nothing"/>
      <w:lvlText w:val="（%1）"/>
      <w:lvlJc w:val="left"/>
      <w:rPr>
        <w:rFonts w:hint="eastAsia"/>
      </w:rPr>
    </w:lvl>
  </w:abstractNum>
  <w:abstractNum w:abstractNumId="2">
    <w:nsid w:val="BCD77090"/>
    <w:multiLevelType w:val="singleLevel"/>
    <w:tmpl w:val="BCD77090"/>
    <w:lvl w:ilvl="0" w:tentative="0">
      <w:start w:val="1"/>
      <w:numFmt w:val="chineseCounting"/>
      <w:suff w:val="nothing"/>
      <w:lvlText w:val="（%1）"/>
      <w:lvlJc w:val="left"/>
      <w:rPr>
        <w:rFonts w:hint="eastAsia"/>
      </w:rPr>
    </w:lvl>
  </w:abstractNum>
  <w:abstractNum w:abstractNumId="3">
    <w:nsid w:val="FBEAECF8"/>
    <w:multiLevelType w:val="singleLevel"/>
    <w:tmpl w:val="FBEAECF8"/>
    <w:lvl w:ilvl="0" w:tentative="0">
      <w:start w:val="1"/>
      <w:numFmt w:val="decimal"/>
      <w:suff w:val="space"/>
      <w:lvlText w:val="%1."/>
      <w:lvlJc w:val="left"/>
    </w:lvl>
  </w:abstractNum>
  <w:abstractNum w:abstractNumId="4">
    <w:nsid w:val="32C6922E"/>
    <w:multiLevelType w:val="singleLevel"/>
    <w:tmpl w:val="32C6922E"/>
    <w:lvl w:ilvl="0" w:tentative="0">
      <w:start w:val="1"/>
      <w:numFmt w:val="chineseCounting"/>
      <w:suff w:val="nothing"/>
      <w:lvlText w:val="（%1）"/>
      <w:lvlJc w:val="left"/>
      <w:rPr>
        <w:rFonts w:hint="eastAsia"/>
      </w:rPr>
    </w:lvl>
  </w:abstractNum>
  <w:abstractNum w:abstractNumId="5">
    <w:nsid w:val="3FFD5FBC"/>
    <w:multiLevelType w:val="singleLevel"/>
    <w:tmpl w:val="3FFD5FBC"/>
    <w:lvl w:ilvl="0" w:tentative="0">
      <w:start w:val="1"/>
      <w:numFmt w:val="decimal"/>
      <w:suff w:val="space"/>
      <w:lvlText w:val="%1."/>
      <w:lvlJc w:val="left"/>
    </w:lvl>
  </w:abstractNum>
  <w:abstractNum w:abstractNumId="6">
    <w:nsid w:val="77A8B420"/>
    <w:multiLevelType w:val="singleLevel"/>
    <w:tmpl w:val="77A8B420"/>
    <w:lvl w:ilvl="0" w:tentative="0">
      <w:start w:val="1"/>
      <w:numFmt w:val="chineseCounting"/>
      <w:suff w:val="nothing"/>
      <w:lvlText w:val="（%1）"/>
      <w:lvlJc w:val="left"/>
      <w:rPr>
        <w:rFonts w:hint="eastAsia"/>
      </w:rPr>
    </w:lvl>
  </w:abstractNum>
  <w:num w:numId="1">
    <w:abstractNumId w:val="0"/>
  </w:num>
  <w:num w:numId="2">
    <w:abstractNumId w:val="1"/>
  </w:num>
  <w:num w:numId="3">
    <w:abstractNumId w:val="6"/>
  </w:num>
  <w:num w:numId="4">
    <w:abstractNumId w:val="3"/>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B47D7"/>
    <w:rsid w:val="1F7E5AF4"/>
    <w:rsid w:val="24F5E817"/>
    <w:rsid w:val="265FD3C6"/>
    <w:rsid w:val="277E3D28"/>
    <w:rsid w:val="277FD843"/>
    <w:rsid w:val="286B5DC8"/>
    <w:rsid w:val="2EF70EC8"/>
    <w:rsid w:val="2FEF867A"/>
    <w:rsid w:val="375F3C36"/>
    <w:rsid w:val="37DF4B73"/>
    <w:rsid w:val="37FEF10E"/>
    <w:rsid w:val="3ADF6C8C"/>
    <w:rsid w:val="3B321961"/>
    <w:rsid w:val="3B6FB5FD"/>
    <w:rsid w:val="3B7842EB"/>
    <w:rsid w:val="3BF89B21"/>
    <w:rsid w:val="3E4F30BD"/>
    <w:rsid w:val="3EA32A61"/>
    <w:rsid w:val="3FAF41B3"/>
    <w:rsid w:val="3FED8036"/>
    <w:rsid w:val="3FF74E0D"/>
    <w:rsid w:val="47FA2943"/>
    <w:rsid w:val="4FAF1D2C"/>
    <w:rsid w:val="4FBD427C"/>
    <w:rsid w:val="53F7A807"/>
    <w:rsid w:val="5BC141E2"/>
    <w:rsid w:val="5BCEA64D"/>
    <w:rsid w:val="5CDF8AE0"/>
    <w:rsid w:val="5DD7D716"/>
    <w:rsid w:val="5DF58E53"/>
    <w:rsid w:val="5DFF8D99"/>
    <w:rsid w:val="5FB9C4A7"/>
    <w:rsid w:val="5FBC7E25"/>
    <w:rsid w:val="5FF7CC35"/>
    <w:rsid w:val="5FFF63F1"/>
    <w:rsid w:val="64FFDDAB"/>
    <w:rsid w:val="67F72A83"/>
    <w:rsid w:val="6A73C882"/>
    <w:rsid w:val="6DFDDCFC"/>
    <w:rsid w:val="6EBF9F2F"/>
    <w:rsid w:val="6ECD05CE"/>
    <w:rsid w:val="6F6FA505"/>
    <w:rsid w:val="6F7FE94D"/>
    <w:rsid w:val="71BB8842"/>
    <w:rsid w:val="73F7F097"/>
    <w:rsid w:val="757D9D52"/>
    <w:rsid w:val="75FEE812"/>
    <w:rsid w:val="762FB224"/>
    <w:rsid w:val="77FB04D8"/>
    <w:rsid w:val="77FFB285"/>
    <w:rsid w:val="78FA9E02"/>
    <w:rsid w:val="79B28B1E"/>
    <w:rsid w:val="79B68C67"/>
    <w:rsid w:val="7A7B6BAA"/>
    <w:rsid w:val="7B8FFA2F"/>
    <w:rsid w:val="7BD79E9A"/>
    <w:rsid w:val="7BFE1038"/>
    <w:rsid w:val="7BFF253B"/>
    <w:rsid w:val="7CC60AFD"/>
    <w:rsid w:val="7CDF00D2"/>
    <w:rsid w:val="7CEF102F"/>
    <w:rsid w:val="7DE1ACC2"/>
    <w:rsid w:val="7DF752D1"/>
    <w:rsid w:val="7DFE4E11"/>
    <w:rsid w:val="7E4C7A9D"/>
    <w:rsid w:val="7EBC78C0"/>
    <w:rsid w:val="7F5F8FAF"/>
    <w:rsid w:val="7F6F6ED6"/>
    <w:rsid w:val="7FA7BB22"/>
    <w:rsid w:val="7FBB0791"/>
    <w:rsid w:val="7FDE6FB0"/>
    <w:rsid w:val="7FDF0AC7"/>
    <w:rsid w:val="7FE37E64"/>
    <w:rsid w:val="7FEE8DFB"/>
    <w:rsid w:val="7FEFD355"/>
    <w:rsid w:val="7FFB1752"/>
    <w:rsid w:val="7FFF6910"/>
    <w:rsid w:val="7FFF7212"/>
    <w:rsid w:val="7FFFB5A9"/>
    <w:rsid w:val="7FFFDDC7"/>
    <w:rsid w:val="87BF742B"/>
    <w:rsid w:val="8BBFD92B"/>
    <w:rsid w:val="8BFE4A17"/>
    <w:rsid w:val="8FAFE1E0"/>
    <w:rsid w:val="8FF7F58E"/>
    <w:rsid w:val="9E854723"/>
    <w:rsid w:val="9FDFF3F0"/>
    <w:rsid w:val="A6EB92EC"/>
    <w:rsid w:val="A76B89A3"/>
    <w:rsid w:val="A7EDBB44"/>
    <w:rsid w:val="AABB3620"/>
    <w:rsid w:val="AB661707"/>
    <w:rsid w:val="AEFEE06E"/>
    <w:rsid w:val="AFF5B43A"/>
    <w:rsid w:val="AFFD1E94"/>
    <w:rsid w:val="B61BB7AE"/>
    <w:rsid w:val="B6FF43D4"/>
    <w:rsid w:val="B9AD1F9B"/>
    <w:rsid w:val="B9FFACBC"/>
    <w:rsid w:val="BAE52DA6"/>
    <w:rsid w:val="BAFD19C0"/>
    <w:rsid w:val="BBFFF799"/>
    <w:rsid w:val="BCFF198E"/>
    <w:rsid w:val="BD5DACC0"/>
    <w:rsid w:val="BEF76D60"/>
    <w:rsid w:val="BFBDAB7E"/>
    <w:rsid w:val="BFBE5F66"/>
    <w:rsid w:val="BFE7A00E"/>
    <w:rsid w:val="BFEFB3C5"/>
    <w:rsid w:val="BFFE8693"/>
    <w:rsid w:val="CDE63C1E"/>
    <w:rsid w:val="CE7F14E5"/>
    <w:rsid w:val="CEFF2246"/>
    <w:rsid w:val="CFDF331C"/>
    <w:rsid w:val="CFF75A27"/>
    <w:rsid w:val="CFFC4035"/>
    <w:rsid w:val="D15F4251"/>
    <w:rsid w:val="D5C6CA12"/>
    <w:rsid w:val="D716B909"/>
    <w:rsid w:val="DBFC83E1"/>
    <w:rsid w:val="DEEC06C0"/>
    <w:rsid w:val="DF6D841D"/>
    <w:rsid w:val="DF79AA98"/>
    <w:rsid w:val="DFFD21CC"/>
    <w:rsid w:val="DFFF6E08"/>
    <w:rsid w:val="DFFF89EC"/>
    <w:rsid w:val="E2EA4640"/>
    <w:rsid w:val="E33F421E"/>
    <w:rsid w:val="EB774FDC"/>
    <w:rsid w:val="ED4EB29D"/>
    <w:rsid w:val="EDFFB9CF"/>
    <w:rsid w:val="EF9EF39B"/>
    <w:rsid w:val="EFFE67F4"/>
    <w:rsid w:val="F3770EAB"/>
    <w:rsid w:val="F3FBA60B"/>
    <w:rsid w:val="F6F9135A"/>
    <w:rsid w:val="F7BBA8A9"/>
    <w:rsid w:val="F7D7402A"/>
    <w:rsid w:val="F7EFA4F0"/>
    <w:rsid w:val="F7FED87B"/>
    <w:rsid w:val="F89E589C"/>
    <w:rsid w:val="F9FF0ED8"/>
    <w:rsid w:val="F9FF53F7"/>
    <w:rsid w:val="FA6DFA82"/>
    <w:rsid w:val="FA7FE5ED"/>
    <w:rsid w:val="FAEE6D0D"/>
    <w:rsid w:val="FBCB18EC"/>
    <w:rsid w:val="FBDF4D7E"/>
    <w:rsid w:val="FBFBEAE9"/>
    <w:rsid w:val="FBFE4158"/>
    <w:rsid w:val="FBFE9E6E"/>
    <w:rsid w:val="FCFF5CD1"/>
    <w:rsid w:val="FE6DBE49"/>
    <w:rsid w:val="FE7982FF"/>
    <w:rsid w:val="FE7C1B59"/>
    <w:rsid w:val="FE7DE615"/>
    <w:rsid w:val="FEBCC8D1"/>
    <w:rsid w:val="FEF30BF3"/>
    <w:rsid w:val="FEFB2F9F"/>
    <w:rsid w:val="FEFD10DB"/>
    <w:rsid w:val="FF2CC20E"/>
    <w:rsid w:val="FF71A7B5"/>
    <w:rsid w:val="FF7B71E1"/>
    <w:rsid w:val="FF7F4523"/>
    <w:rsid w:val="FF7FB1CF"/>
    <w:rsid w:val="FFBF1D80"/>
    <w:rsid w:val="FFCD3084"/>
    <w:rsid w:val="FFD69845"/>
    <w:rsid w:val="FFDBDE96"/>
    <w:rsid w:val="FFDD7F2D"/>
    <w:rsid w:val="FFF30833"/>
    <w:rsid w:val="FFF68FA2"/>
    <w:rsid w:val="FFF714D5"/>
    <w:rsid w:val="FFF7E155"/>
    <w:rsid w:val="FFFA61EC"/>
    <w:rsid w:val="FFFBE8B3"/>
    <w:rsid w:val="FFFF32EF"/>
    <w:rsid w:val="FFFF63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Arial" w:hAnsi="Arial" w:eastAsia="楷体"/>
      <w:sz w:val="32"/>
    </w:rPr>
  </w:style>
  <w:style w:type="character" w:default="1" w:styleId="15">
    <w:name w:val="Default Paragraph Font"/>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caption"/>
    <w:basedOn w:val="1"/>
    <w:next w:val="1"/>
    <w:qFormat/>
    <w:uiPriority w:val="0"/>
    <w:pPr>
      <w:widowControl w:val="0"/>
      <w:suppressLineNumbers/>
      <w:suppressAutoHyphens/>
      <w:spacing w:before="120" w:after="120"/>
    </w:pPr>
    <w:rPr>
      <w:i/>
      <w:iCs/>
      <w:sz w:val="24"/>
      <w:szCs w:val="24"/>
    </w:rPr>
  </w:style>
  <w:style w:type="paragraph" w:styleId="5">
    <w:name w:val="annotation text"/>
    <w:basedOn w:val="1"/>
    <w:qFormat/>
    <w:uiPriority w:val="0"/>
    <w:pPr>
      <w:jc w:val="left"/>
    </w:pPr>
  </w:style>
  <w:style w:type="paragraph" w:styleId="6">
    <w:name w:val="Body Text"/>
    <w:basedOn w:val="1"/>
    <w:qFormat/>
    <w:uiPriority w:val="0"/>
    <w:pPr>
      <w:spacing w:before="0" w:after="140" w:line="276" w:lineRule="auto"/>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List"/>
    <w:basedOn w:val="6"/>
    <w:qFormat/>
    <w:uiPriority w:val="0"/>
  </w:style>
  <w:style w:type="paragraph" w:styleId="12">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默认段落字体1"/>
    <w:qFormat/>
    <w:uiPriority w:val="0"/>
  </w:style>
  <w:style w:type="paragraph" w:customStyle="1" w:styleId="17">
    <w:name w:val="Heading"/>
    <w:basedOn w:val="1"/>
    <w:next w:val="6"/>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8">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3268</Words>
  <Characters>3299</Characters>
  <TotalTime>0</TotalTime>
  <ScaleCrop>false</ScaleCrop>
  <LinksUpToDate>false</LinksUpToDate>
  <CharactersWithSpaces>3362</CharactersWithSpaces>
  <Application>WPS Office_11.8.2.12185_F1E327BC-269C-435d-A152-05C5408002CA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2018-12-06T09:47:00Z</dcterms:created>
  <dc:creator>maxy</dc:creator>
  <cp:lastModifiedBy>lirc</cp:lastModifiedBy>
  <cp:lastPrinted>2024-08-24T08:59:00Z</cp:lastPrinted>
  <dcterms:modified xsi:type="dcterms:W3CDTF">2024-09-02T16:48:25Z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0D8CCFA4F78846CF1AB7C56608589AC4</vt:lpwstr>
  </property>
</Properties>
</file>